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center"/>
      </w:pPr>
      <w:r>
        <w:rPr>
          <w:rFonts w:ascii="Arial" w:hAnsi="Arial"/>
          <w:b/>
          <w:color w:val="002FA7"/>
          <w:sz w:val="144"/>
        </w:rPr>
        <w:t>Ψ</w:t>
      </w:r>
    </w:p>
    <w:p>
      <w:pPr>
        <w:spacing w:after="160"/>
        <w:jc w:val="center"/>
      </w:pPr>
      <w:r>
        <w:rPr>
          <w:rFonts w:ascii="Arial" w:hAnsi="Arial"/>
          <w:b/>
          <w:color w:val="002FA7"/>
          <w:sz w:val="56"/>
        </w:rPr>
        <w:t>Modele DUERP-RPS</w:t>
      </w:r>
    </w:p>
    <w:p>
      <w:pPr>
        <w:spacing w:after="80"/>
        <w:jc w:val="center"/>
      </w:pPr>
      <w:r>
        <w:rPr>
          <w:rFonts w:ascii="Arial" w:hAnsi="Arial"/>
          <w:b w:val="0"/>
          <w:color w:val="1A47B8"/>
          <w:sz w:val="28"/>
        </w:rPr>
        <w:t>Document unique d'evaluation des risques professionnels</w:t>
      </w:r>
    </w:p>
    <w:p>
      <w:pPr>
        <w:spacing w:after="600"/>
        <w:jc w:val="center"/>
      </w:pPr>
      <w:r>
        <w:rPr>
          <w:rFonts w:ascii="Arial" w:hAnsi="Arial"/>
          <w:b/>
          <w:color w:val="1A47B8"/>
          <w:sz w:val="28"/>
        </w:rPr>
        <w:t>Volet risques psychosociaux</w:t>
      </w:r>
    </w:p>
    <w:p>
      <w:pPr>
        <w:spacing w:after="800"/>
        <w:jc w:val="center"/>
      </w:pPr>
      <w:r>
        <w:rPr>
          <w:rFonts w:ascii="Arial" w:hAnsi="Arial"/>
          <w:b/>
          <w:color w:val="002FA7"/>
          <w:sz w:val="36"/>
        </w:rPr>
        <w:t>TRANSPORTS, LOGISTIQUE, ENTREPOSAGE, COMMERCE ET DISTRIBUTION</w:t>
      </w:r>
    </w:p>
    <w:p>
      <w:pPr>
        <w:shd w:val="clear" w:color="auto" w:fill="E8F0FA"/>
        <w:spacing w:before="400" w:after="400"/>
        <w:ind w:left="170" w:right="170"/>
      </w:pPr>
      <w:r>
        <w:rPr>
          <w:rFonts w:ascii="Georgia" w:hAnsi="Georgia"/>
          <w:color w:val="1A1D2E"/>
          <w:sz w:val="22"/>
        </w:rPr>
        <w:t>Ce modele est concu pour servir de base de travail aux organisations du secteur. Il integre les six familles de facteurs de risques issues du rapport Gollac et Bodier (2011), les obligations issues du Code du travail et de la loi du 2 aout 2021, ainsi que des exemples de situations a risque, d'indicateurs et d'actions de prevention adaptes aux specificites sectorielles.</w:t>
      </w:r>
    </w:p>
    <w:p>
      <w:pPr>
        <w:spacing w:after="400"/>
      </w:pPr>
      <w:r>
        <w:rPr>
          <w:rFonts w:ascii="Georgia" w:hAnsi="Georgia"/>
          <w:b w:val="0"/>
          <w:color w:val="1A1D2E"/>
          <w:sz w:val="22"/>
        </w:rPr>
      </w:r>
    </w:p>
    <w:p>
      <w:pPr>
        <w:spacing w:after="80"/>
        <w:jc w:val="center"/>
      </w:pPr>
      <w:r>
        <w:rPr>
          <w:rFonts w:ascii="Georgia" w:hAnsi="Georgia"/>
          <w:b w:val="0"/>
          <w:color w:val="5A607A"/>
          <w:sz w:val="24"/>
        </w:rPr>
        <w:t>Document a personnaliser, completer et faire vivre</w:t>
      </w:r>
    </w:p>
    <w:p>
      <w:pPr>
        <w:spacing w:after="800"/>
        <w:jc w:val="center"/>
      </w:pPr>
      <w:r>
        <w:rPr>
          <w:rFonts w:ascii="Georgia" w:hAnsi="Georgia"/>
          <w:b w:val="0"/>
          <w:color w:val="5A607A"/>
          <w:sz w:val="24"/>
        </w:rPr>
        <w:t>selon les unites de travail et les realites de l'organisation</w:t>
      </w:r>
    </w:p>
    <w:p>
      <w:pPr>
        <w:spacing w:after="40"/>
        <w:jc w:val="center"/>
      </w:pPr>
      <w:r>
        <w:rPr>
          <w:rFonts w:ascii="Arial" w:hAnsi="Arial"/>
          <w:b/>
          <w:color w:val="1A1D2E"/>
          <w:sz w:val="20"/>
        </w:rPr>
        <w:t>Auteur du modele : Anthony Moulin</w:t>
      </w:r>
    </w:p>
    <w:p>
      <w:pPr>
        <w:spacing w:after="40"/>
        <w:jc w:val="center"/>
      </w:pPr>
      <w:r>
        <w:rPr>
          <w:rFonts w:ascii="Arial" w:hAnsi="Arial"/>
          <w:b w:val="0"/>
          <w:color w:val="5A607A"/>
          <w:sz w:val="20"/>
        </w:rPr>
        <w:t>Psychologue du travail · psychologiedutravail.org</w:t>
      </w:r>
    </w:p>
    <w:p>
      <w:pPr>
        <w:spacing w:after="40"/>
        <w:jc w:val="center"/>
      </w:pPr>
      <w:r>
        <w:rPr>
          <w:rFonts w:ascii="Arial" w:hAnsi="Arial"/>
          <w:b w:val="0"/>
          <w:color w:val="5A607A"/>
          <w:sz w:val="18"/>
        </w:rPr>
        <w:t>Modele gratuit, version 1.0 · mai 2026</w:t>
      </w:r>
    </w:p>
    <w:p>
      <w:r>
        <w:br w:type="page"/>
      </w:r>
    </w:p>
    <w:p>
      <w:pPr>
        <w:spacing w:before="360" w:after="200"/>
      </w:pPr>
      <w:r>
        <w:rPr>
          <w:rFonts w:ascii="Arial" w:hAnsi="Arial"/>
          <w:b/>
          <w:color w:val="002FA7"/>
          <w:sz w:val="36"/>
        </w:rPr>
        <w:t>Sommaire</w:t>
      </w:r>
    </w:p>
    <w:p>
      <w:pPr>
        <w:spacing w:after="80"/>
      </w:pPr>
      <w:r>
        <w:rPr>
          <w:rFonts w:ascii="Georgia" w:hAnsi="Georgia"/>
          <w:b w:val="0"/>
          <w:color w:val="1A1D2E"/>
          <w:sz w:val="22"/>
        </w:rPr>
        <w:t>1. Cadre legal, methodologique et mode d'emploi</w:t>
      </w:r>
    </w:p>
    <w:p>
      <w:pPr>
        <w:spacing w:after="80"/>
      </w:pPr>
      <w:r>
        <w:rPr>
          <w:rFonts w:ascii="Georgia" w:hAnsi="Georgia"/>
          <w:b w:val="0"/>
          <w:color w:val="1A1D2E"/>
          <w:sz w:val="22"/>
        </w:rPr>
        <w:t>2. Identification de l'organisation</w:t>
      </w:r>
    </w:p>
    <w:p>
      <w:pPr>
        <w:spacing w:after="80"/>
      </w:pPr>
      <w:r>
        <w:rPr>
          <w:rFonts w:ascii="Georgia" w:hAnsi="Georgia"/>
          <w:b w:val="0"/>
          <w:color w:val="1A1D2E"/>
          <w:sz w:val="22"/>
        </w:rPr>
        <w:t>3. Cartographie des unites de travail</w:t>
      </w:r>
    </w:p>
    <w:p>
      <w:pPr>
        <w:spacing w:after="80"/>
      </w:pPr>
      <w:r>
        <w:rPr>
          <w:rFonts w:ascii="Georgia" w:hAnsi="Georgia"/>
          <w:b w:val="0"/>
          <w:color w:val="1A1D2E"/>
          <w:sz w:val="22"/>
        </w:rPr>
        <w:t>4. Evaluation des risques par unite de travail</w:t>
      </w:r>
    </w:p>
    <w:p>
      <w:pPr>
        <w:spacing w:after="80"/>
      </w:pPr>
      <w:r>
        <w:rPr>
          <w:rFonts w:ascii="Georgia" w:hAnsi="Georgia"/>
          <w:b w:val="0"/>
          <w:color w:val="1A1D2E"/>
          <w:sz w:val="22"/>
        </w:rPr>
        <w:t>5. Synthese par famille de facteurs de risques</w:t>
      </w:r>
    </w:p>
    <w:p>
      <w:pPr>
        <w:spacing w:after="80"/>
      </w:pPr>
      <w:r>
        <w:rPr>
          <w:rFonts w:ascii="Georgia" w:hAnsi="Georgia"/>
          <w:b w:val="0"/>
          <w:color w:val="1A1D2E"/>
          <w:sz w:val="22"/>
        </w:rPr>
        <w:t>6. Plan de prevention</w:t>
      </w:r>
    </w:p>
    <w:p>
      <w:pPr>
        <w:spacing w:after="80"/>
      </w:pPr>
      <w:r>
        <w:rPr>
          <w:rFonts w:ascii="Georgia" w:hAnsi="Georgia"/>
          <w:b w:val="0"/>
          <w:color w:val="1A1D2E"/>
          <w:sz w:val="22"/>
        </w:rPr>
        <w:t>7. Indicateurs de suivi</w:t>
      </w:r>
    </w:p>
    <w:p>
      <w:pPr>
        <w:spacing w:after="80"/>
      </w:pPr>
      <w:r>
        <w:rPr>
          <w:rFonts w:ascii="Georgia" w:hAnsi="Georgia"/>
          <w:b w:val="0"/>
          <w:color w:val="1A1D2E"/>
          <w:sz w:val="22"/>
        </w:rPr>
        <w:t>8. Modalites de revision et de communication</w:t>
      </w:r>
    </w:p>
    <w:p>
      <w:pPr>
        <w:spacing w:after="80"/>
      </w:pPr>
      <w:r>
        <w:rPr>
          <w:rFonts w:ascii="Georgia" w:hAnsi="Georgia"/>
          <w:b w:val="0"/>
          <w:color w:val="1A1D2E"/>
          <w:sz w:val="22"/>
        </w:rPr>
        <w:t>9. Annexes : references juridiques et ressources sectorielles</w:t>
      </w:r>
    </w:p>
    <w:p>
      <w:r>
        <w:br w:type="page"/>
      </w:r>
    </w:p>
    <w:p>
      <w:pPr>
        <w:spacing w:before="360" w:after="200"/>
      </w:pPr>
      <w:r>
        <w:rPr>
          <w:rFonts w:ascii="Arial" w:hAnsi="Arial"/>
          <w:b/>
          <w:color w:val="002FA7"/>
          <w:sz w:val="36"/>
        </w:rPr>
        <w:t>1. Cadre legal, methodologique et mode d'emploi</w:t>
      </w:r>
    </w:p>
    <w:p>
      <w:pPr>
        <w:spacing w:before="280" w:after="120"/>
      </w:pPr>
      <w:r>
        <w:rPr>
          <w:rFonts w:ascii="Arial" w:hAnsi="Arial"/>
          <w:b/>
          <w:color w:val="1A47B8"/>
          <w:sz w:val="26"/>
        </w:rPr>
        <w:t>1.1. L'obligation d'evaluation des risques professionnels</w:t>
      </w:r>
    </w:p>
    <w:p>
      <w:pPr>
        <w:spacing w:after="120"/>
      </w:pPr>
      <w:r>
        <w:rPr>
          <w:rFonts w:ascii="Georgia" w:hAnsi="Georgia"/>
          <w:b w:val="0"/>
          <w:color w:val="1A1D2E"/>
          <w:sz w:val="22"/>
        </w:rPr>
        <w:t>L'article L.4121-1 du Code du travail impose a l'employeur de prendre les mesures necessaires pour assurer la securite et proteger la sante physique et mentale des travailleurs. Cette obligation generale se decline a travers une obligation d'evaluation des risques formalisee dans le Document unique d'evaluation des risques professionnels (DUERP), introduit par le decret du 5 novembre 2001 et substantiellement renforce par la loi du 2 aout 2021. Depuis cette loi, le DUERP doit etre conserve pendant quarante ans et il rend compte du programme annuel de prevention (PAPRiPACT) pour les organisations de cinquante salaries ou plus.</w:t>
      </w:r>
    </w:p>
    <w:p>
      <w:pPr>
        <w:spacing w:after="120"/>
      </w:pPr>
      <w:r>
        <w:rPr>
          <w:rFonts w:ascii="Georgia" w:hAnsi="Georgia"/>
          <w:b w:val="0"/>
          <w:color w:val="1A1D2E"/>
          <w:sz w:val="22"/>
        </w:rPr>
        <w:t>Les risques psychosociaux constituent une categorie de risques professionnels a part entiere. Le rapport Gollac et Bodier remis en 2011 au ministre du Travail propose une definition operationnelle des RPS organisee en six familles de facteurs, qui structure aujourd'hui les diagnostics conduits dans les organisations : l'intensite et le temps de travail, les exigences emotionnelles, les marges de manoeuvre et l'autonomie, les rapports sociaux et la reconnaissance, les conflits de valeurs et la qualite empechee, et l'insecurite de la situation de travail.</w:t>
      </w:r>
    </w:p>
    <w:p>
      <w:pPr>
        <w:spacing w:before="280" w:after="120"/>
      </w:pPr>
      <w:r>
        <w:rPr>
          <w:rFonts w:ascii="Arial" w:hAnsi="Arial"/>
          <w:b/>
          <w:color w:val="1A47B8"/>
          <w:sz w:val="26"/>
        </w:rPr>
        <w:t>1.2. Une demarche participative</w:t>
      </w:r>
    </w:p>
    <w:p>
      <w:pPr>
        <w:spacing w:after="120"/>
      </w:pPr>
      <w:r>
        <w:rPr>
          <w:rFonts w:ascii="Georgia" w:hAnsi="Georgia"/>
          <w:b w:val="0"/>
          <w:color w:val="1A1D2E"/>
          <w:sz w:val="22"/>
        </w:rPr>
        <w:t>L'evaluation des RPS ne peut etre conduite a distance des situations reelles de travail. Elle suppose la mobilisation des representants du personnel, du service de prevention et de sante au travail (SPST), des encadrants de proximite et, autant que possible, l'expression des salaries eux-memes au moyen de groupes de travail, d'entretiens semi-directifs, d'observations du travail reel ou de questionnaires. La participation des salaries n'est pas une option methodologique : elle conditionne la qualite du diagnostic et l'appropriation des mesures de prevention qui en decoulent.</w:t>
      </w:r>
    </w:p>
    <w:p>
      <w:pPr>
        <w:shd w:val="clear" w:color="auto" w:fill="E8F0FA"/>
        <w:spacing w:before="120" w:after="200"/>
        <w:ind w:left="170"/>
      </w:pPr>
      <w:r>
        <w:rPr>
          <w:rFonts w:ascii="Arial" w:hAnsi="Arial"/>
          <w:b/>
          <w:color w:val="002FA7"/>
          <w:sz w:val="20"/>
        </w:rPr>
        <w:t xml:space="preserve">Point de vigilance : </w:t>
      </w:r>
      <w:r>
        <w:rPr>
          <w:rFonts w:ascii="Georgia" w:hAnsi="Georgia"/>
          <w:color w:val="1A1D2E"/>
          <w:sz w:val="20"/>
        </w:rPr>
        <w:t>Le DUERP est un document qui doit vivre. Il appelle une revision au moins annuelle, mais aussi a chaque modification importante des conditions de travail ou apres tout evenement marquant (accident, restructuration, plainte). La traçabilite des mises a jour est essentielle.</w:t>
      </w:r>
    </w:p>
    <w:p>
      <w:pPr>
        <w:spacing w:before="280" w:after="120"/>
      </w:pPr>
      <w:r>
        <w:rPr>
          <w:rFonts w:ascii="Arial" w:hAnsi="Arial"/>
          <w:b/>
          <w:color w:val="1A47B8"/>
          <w:sz w:val="26"/>
        </w:rPr>
        <w:t>1.3. Mode d'emploi de ce modele</w:t>
      </w:r>
    </w:p>
    <w:p>
      <w:pPr>
        <w:spacing w:after="120"/>
      </w:pPr>
      <w:r>
        <w:rPr>
          <w:rFonts w:ascii="Georgia" w:hAnsi="Georgia"/>
          <w:b w:val="0"/>
          <w:color w:val="1A1D2E"/>
          <w:sz w:val="22"/>
        </w:rPr>
        <w:t>Ce modele est concu pour servir de structure et de matiere premiere a une demarche DUERP-RPS adaptee aux specificites du secteur. Les unites de travail proposees, les exemples de situations a risque ainsi que les indicateurs et actions de prevention sont issus de l'observation des realites sectorielles. Ils doivent etre confrontes a la realite de l'organisation : certaines unites n'existent pas, d'autres doivent etre creees, et les exemples doivent etre completes, modifies ou supprimes apres consultation des representants du personnel et des equipes.</w:t>
      </w:r>
    </w:p>
    <w:p>
      <w:pPr>
        <w:spacing w:after="120"/>
      </w:pPr>
      <w:r>
        <w:rPr>
          <w:rFonts w:ascii="Georgia" w:hAnsi="Georgia"/>
          <w:b w:val="0"/>
          <w:color w:val="1A1D2E"/>
          <w:sz w:val="22"/>
        </w:rPr>
        <w:t>Pour chaque unite de travail, l'evaluation s'appuie sur trois colonnes : la frequence d'exposition au facteur de risque (de 1 a 4), la gravite des consequences pour la sante des salaries (de 1 a 4), et la maitrise actuelle des moyens de prevention (de 1 a 4 oo 1 signifie une maitrise tres satisfaisante et 4 une absence de maitrise). Le niveau de risque resultant se lit comme le produit de ces trois cotations, ce qui permet de hierarchiser les priorites du plan d'action.</w:t>
      </w:r>
    </w:p>
    <w:p>
      <w:pPr>
        <w:shd w:val="clear" w:color="auto" w:fill="E8F0FA"/>
        <w:spacing w:before="120" w:after="200"/>
        <w:ind w:left="170"/>
      </w:pPr>
      <w:r>
        <w:rPr>
          <w:rFonts w:ascii="Arial" w:hAnsi="Arial"/>
          <w:b/>
          <w:color w:val="002FA7"/>
          <w:sz w:val="20"/>
        </w:rPr>
        <w:t xml:space="preserve">Ressource associee : </w:t>
      </w:r>
      <w:r>
        <w:rPr>
          <w:rFonts w:ascii="Georgia" w:hAnsi="Georgia"/>
          <w:color w:val="1A1D2E"/>
          <w:sz w:val="20"/>
        </w:rPr>
        <w:t>Pour aller plus loin dans la methode, on pourra se reporter a l'ouvrage DUERP-RPS en pratique disponible sur psychologiedutravail.org/duerp-rps-en-pratique, qui detaille chacune des etapes et propose une analyse approfondie des outils mobilisables.</w:t>
      </w:r>
    </w:p>
    <w:p>
      <w:r>
        <w:br w:type="page"/>
      </w:r>
    </w:p>
    <w:p>
      <w:pPr>
        <w:spacing w:before="360" w:after="200"/>
      </w:pPr>
      <w:r>
        <w:rPr>
          <w:rFonts w:ascii="Arial" w:hAnsi="Arial"/>
          <w:b/>
          <w:color w:val="002FA7"/>
          <w:sz w:val="36"/>
        </w:rPr>
        <w:t>2. Identification de l'organisation</w:t>
      </w:r>
    </w:p>
    <w:p>
      <w:pPr>
        <w:spacing w:after="120"/>
      </w:pPr>
      <w:r>
        <w:rPr>
          <w:rFonts w:ascii="Georgia" w:hAnsi="Georgia"/>
          <w:b w:val="0"/>
          <w:color w:val="1A1D2E"/>
          <w:sz w:val="22"/>
        </w:rPr>
        <w:t>Cette section renseigne les informations generales relatives a l'organisation et au perimetre couvert par le present DUERP. Elle est a completer integralement avant toute evaluation.</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4986"/>
        <w:gridCol w:w="4986"/>
      </w:tblGrid>
      <w:tr>
        <w:tc>
          <w:tcPr>
            <w:tcW w:type="dxa" w:w="4986"/>
            <w:shd w:val="clear" w:color="auto" w:fill="E8F0FA"/>
          </w:tcPr>
          <w:p>
            <w:r/>
            <w:r>
              <w:rPr>
                <w:rFonts w:ascii="Arial" w:hAnsi="Arial"/>
                <w:b/>
                <w:color w:val="002FA7"/>
                <w:sz w:val="20"/>
              </w:rPr>
              <w:t>Raison sociale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Adresse du siege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Effectif total</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Etablissements concernes</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Code APE / NAF</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Convention collective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Responsable de la demarche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Membres du comite de pilotage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Representants du personnel associes</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SPST mobilise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Date d'elaboration du present document</w:t>
            </w:r>
          </w:p>
        </w:tc>
        <w:tc>
          <w:tcPr>
            <w:tcW w:type="dxa" w:w="4986"/>
          </w:tcPr>
          <w:p>
            <w:r/>
            <w:r>
              <w:rPr>
                <w:rFonts w:ascii="Georgia" w:hAnsi="Georgia"/>
                <w:b w:val="0"/>
                <w:color w:val="1A1D2E"/>
                <w:sz w:val="20"/>
              </w:rPr>
              <w:t>...</w:t>
            </w:r>
          </w:p>
        </w:tc>
      </w:tr>
    </w:tbl>
    <w:p>
      <w:pPr>
        <w:spacing w:after="16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Vigilance : </w:t>
      </w:r>
      <w:r>
        <w:rPr>
          <w:rFonts w:ascii="Georgia" w:hAnsi="Georgia"/>
          <w:color w:val="1A1D2E"/>
          <w:sz w:val="20"/>
        </w:rPr>
        <w:t>Le perimetre couvert par le DUERP doit inclure l'ensemble des unites de travail, y compris les sites secondaires, les agents en deplacement, le personnel en teletravail, les contrats courts et l'interim. L'oubli d'une unite de travail fragilise la portee juridique du document.</w:t>
      </w:r>
    </w:p>
    <w:p>
      <w:r>
        <w:br w:type="page"/>
      </w:r>
    </w:p>
    <w:p>
      <w:pPr>
        <w:spacing w:before="360" w:after="200"/>
      </w:pPr>
      <w:r>
        <w:rPr>
          <w:rFonts w:ascii="Arial" w:hAnsi="Arial"/>
          <w:b/>
          <w:color w:val="002FA7"/>
          <w:sz w:val="36"/>
        </w:rPr>
        <w:t>3. Cartographie des unites de travail</w:t>
      </w:r>
    </w:p>
    <w:p>
      <w:pPr>
        <w:spacing w:after="120"/>
      </w:pPr>
      <w:r>
        <w:rPr>
          <w:rFonts w:ascii="Georgia" w:hAnsi="Georgia"/>
          <w:b w:val="0"/>
          <w:color w:val="1A1D2E"/>
          <w:sz w:val="22"/>
        </w:rPr>
        <w:t>La notion d'unite de travail, introduite par le decret du 5 novembre 2001, ne se confond pas avec l'organigramme de l'organisation. Une unite de travail regroupe des salaries qui partagent un environnement de travail, des conditions d'exercice et une exposition aux risques comparables. Pour le secteur, les unites typiques sont les suivantes ; elles doivent etre confirmees, modifiees ou completees selon la realite locale.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2493"/>
        <w:gridCol w:w="2493"/>
        <w:gridCol w:w="2493"/>
        <w:gridCol w:w="2493"/>
      </w:tblGrid>
      <w:tr>
        <w:tc>
          <w:tcPr>
            <w:tcW w:type="dxa" w:w="2493"/>
            <w:shd w:val="clear" w:color="auto" w:fill="002FA7"/>
          </w:tcPr>
          <w:p>
            <w:r>
              <w:rPr>
                <w:rFonts w:ascii="Arial" w:hAnsi="Arial"/>
                <w:b/>
                <w:color w:val="FFFFFF"/>
                <w:sz w:val="20"/>
              </w:rPr>
            </w:r>
            <w:r>
              <w:rPr>
                <w:rFonts w:ascii="Arial" w:hAnsi="Arial"/>
                <w:b/>
                <w:color w:val="FFFFFF"/>
                <w:sz w:val="20"/>
              </w:rPr>
              <w:t>N°</w:t>
            </w:r>
          </w:p>
        </w:tc>
        <w:tc>
          <w:tcPr>
            <w:tcW w:type="dxa" w:w="2493"/>
            <w:shd w:val="clear" w:color="auto" w:fill="002FA7"/>
          </w:tcPr>
          <w:p>
            <w:r>
              <w:rPr>
                <w:rFonts w:ascii="Arial" w:hAnsi="Arial"/>
                <w:b/>
                <w:color w:val="FFFFFF"/>
                <w:sz w:val="20"/>
              </w:rPr>
            </w:r>
            <w:r>
              <w:rPr>
                <w:rFonts w:ascii="Arial" w:hAnsi="Arial"/>
                <w:b/>
                <w:color w:val="FFFFFF"/>
                <w:sz w:val="20"/>
              </w:rPr>
              <w:t>Unite de travail</w:t>
            </w:r>
          </w:p>
        </w:tc>
        <w:tc>
          <w:tcPr>
            <w:tcW w:type="dxa" w:w="2493"/>
            <w:shd w:val="clear" w:color="auto" w:fill="002FA7"/>
          </w:tcPr>
          <w:p>
            <w:r>
              <w:rPr>
                <w:rFonts w:ascii="Arial" w:hAnsi="Arial"/>
                <w:b/>
                <w:color w:val="FFFFFF"/>
                <w:sz w:val="20"/>
              </w:rPr>
            </w:r>
            <w:r>
              <w:rPr>
                <w:rFonts w:ascii="Arial" w:hAnsi="Arial"/>
                <w:b/>
                <w:color w:val="FFFFFF"/>
                <w:sz w:val="20"/>
              </w:rPr>
              <w:t>Effectif concerne</w:t>
            </w:r>
          </w:p>
        </w:tc>
        <w:tc>
          <w:tcPr>
            <w:tcW w:type="dxa" w:w="2493"/>
            <w:shd w:val="clear" w:color="auto" w:fill="002FA7"/>
          </w:tcPr>
          <w:p>
            <w:r>
              <w:rPr>
                <w:rFonts w:ascii="Arial" w:hAnsi="Arial"/>
                <w:b/>
                <w:color w:val="FFFFFF"/>
                <w:sz w:val="20"/>
              </w:rPr>
            </w:r>
            <w:r>
              <w:rPr>
                <w:rFonts w:ascii="Arial" w:hAnsi="Arial"/>
                <w:b/>
                <w:color w:val="FFFFFF"/>
                <w:sz w:val="20"/>
              </w:rPr>
              <w:t>Encadrant referent</w:t>
            </w:r>
          </w:p>
        </w:tc>
      </w:tr>
      <w:tr>
        <w:tc>
          <w:tcPr>
            <w:tcW w:type="dxa" w:w="2493"/>
          </w:tcPr>
          <w:p>
            <w:r/>
            <w:r>
              <w:rPr>
                <w:rFonts w:ascii="Arial" w:hAnsi="Arial"/>
                <w:b/>
                <w:color w:val="002FA7"/>
                <w:sz w:val="20"/>
              </w:rPr>
              <w:t>1</w:t>
            </w:r>
          </w:p>
        </w:tc>
        <w:tc>
          <w:tcPr>
            <w:tcW w:type="dxa" w:w="2493"/>
          </w:tcPr>
          <w:p>
            <w:r/>
            <w:r>
              <w:rPr>
                <w:rFonts w:ascii="Georgia" w:hAnsi="Georgia"/>
                <w:b w:val="0"/>
                <w:color w:val="1A1D2E"/>
                <w:sz w:val="20"/>
              </w:rPr>
              <w:t>Conducteurs routiers (longue distance, regional, urbain)</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2</w:t>
            </w:r>
          </w:p>
        </w:tc>
        <w:tc>
          <w:tcPr>
            <w:tcW w:type="dxa" w:w="2493"/>
          </w:tcPr>
          <w:p>
            <w:r/>
            <w:r>
              <w:rPr>
                <w:rFonts w:ascii="Georgia" w:hAnsi="Georgia"/>
                <w:b w:val="0"/>
                <w:color w:val="1A1D2E"/>
                <w:sz w:val="20"/>
              </w:rPr>
              <w:t>Conducteurs de transport de voyageurs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3</w:t>
            </w:r>
          </w:p>
        </w:tc>
        <w:tc>
          <w:tcPr>
            <w:tcW w:type="dxa" w:w="2493"/>
          </w:tcPr>
          <w:p>
            <w:r/>
            <w:r>
              <w:rPr>
                <w:rFonts w:ascii="Georgia" w:hAnsi="Georgia"/>
                <w:b w:val="0"/>
                <w:color w:val="1A1D2E"/>
                <w:sz w:val="20"/>
              </w:rPr>
              <w:t>Preparateurs de commandes et caristes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4</w:t>
            </w:r>
          </w:p>
        </w:tc>
        <w:tc>
          <w:tcPr>
            <w:tcW w:type="dxa" w:w="2493"/>
          </w:tcPr>
          <w:p>
            <w:r/>
            <w:r>
              <w:rPr>
                <w:rFonts w:ascii="Georgia" w:hAnsi="Georgia"/>
                <w:b w:val="0"/>
                <w:color w:val="1A1D2E"/>
                <w:sz w:val="20"/>
              </w:rPr>
              <w:t>Encadrement logistique (chefs d'equipe, responsables d'entrepot)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5</w:t>
            </w:r>
          </w:p>
        </w:tc>
        <w:tc>
          <w:tcPr>
            <w:tcW w:type="dxa" w:w="2493"/>
          </w:tcPr>
          <w:p>
            <w:r/>
            <w:r>
              <w:rPr>
                <w:rFonts w:ascii="Georgia" w:hAnsi="Georgia"/>
                <w:b w:val="0"/>
                <w:color w:val="1A1D2E"/>
                <w:sz w:val="20"/>
              </w:rPr>
              <w:t>Personnel de caisse et accueil client (commerce)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6</w:t>
            </w:r>
          </w:p>
        </w:tc>
        <w:tc>
          <w:tcPr>
            <w:tcW w:type="dxa" w:w="2493"/>
          </w:tcPr>
          <w:p>
            <w:r/>
            <w:r>
              <w:rPr>
                <w:rFonts w:ascii="Georgia" w:hAnsi="Georgia"/>
                <w:b w:val="0"/>
                <w:color w:val="1A1D2E"/>
                <w:sz w:val="20"/>
              </w:rPr>
              <w:t>Personnel de rayon et mise en rayon</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7</w:t>
            </w:r>
          </w:p>
        </w:tc>
        <w:tc>
          <w:tcPr>
            <w:tcW w:type="dxa" w:w="2493"/>
          </w:tcPr>
          <w:p>
            <w:r/>
            <w:r>
              <w:rPr>
                <w:rFonts w:ascii="Georgia" w:hAnsi="Georgia"/>
                <w:b w:val="0"/>
                <w:color w:val="1A1D2E"/>
                <w:sz w:val="20"/>
              </w:rPr>
              <w:t>Encadrement de magasin (chefs de rayon, directeurs adjoints, directeurs)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8</w:t>
            </w:r>
          </w:p>
        </w:tc>
        <w:tc>
          <w:tcPr>
            <w:tcW w:type="dxa" w:w="2493"/>
          </w:tcPr>
          <w:p>
            <w:r/>
            <w:r>
              <w:rPr>
                <w:rFonts w:ascii="Georgia" w:hAnsi="Georgia"/>
                <w:b w:val="0"/>
                <w:color w:val="1A1D2E"/>
                <w:sz w:val="20"/>
              </w:rPr>
              <w:t>Fonctions supports (RH, comptabilite, achats, marketing)</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bl>
    <w:p>
      <w:pPr>
        <w:spacing w:after="20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Adaptation : </w:t>
      </w:r>
      <w:r>
        <w:rPr>
          <w:rFonts w:ascii="Georgia" w:hAnsi="Georgia"/>
          <w:color w:val="1A1D2E"/>
          <w:sz w:val="20"/>
        </w:rPr>
        <w:t>Les unites de travail proposees ne sont pas exhaustives. Selon la taille de l'organisation, certaines peuvent etre regroupees ou au contraire decomposees plus finement. La decomposition pertinente est celle qui permet de saisir des realites de travail differenciees.</w:t>
      </w:r>
    </w:p>
    <w:p>
      <w:r>
        <w:br w:type="page"/>
      </w:r>
    </w:p>
    <w:p>
      <w:pPr>
        <w:spacing w:before="360" w:after="200"/>
      </w:pPr>
      <w:r>
        <w:rPr>
          <w:rFonts w:ascii="Arial" w:hAnsi="Arial"/>
          <w:b/>
          <w:color w:val="002FA7"/>
          <w:sz w:val="36"/>
        </w:rPr>
        <w:t>4. Evaluation des risques par unite de travail</w:t>
      </w:r>
    </w:p>
    <w:p>
      <w:pPr>
        <w:spacing w:after="120"/>
      </w:pPr>
      <w:r>
        <w:rPr>
          <w:rFonts w:ascii="Georgia" w:hAnsi="Georgia"/>
          <w:b w:val="0"/>
          <w:color w:val="1A1D2E"/>
          <w:sz w:val="22"/>
        </w:rPr>
        <w:t>Cette section constitue le coeur du DUERP-RPS. Pour chaque unite de travail, six tableaux successifs evaluent l'exposition aux six familles de facteurs de risques psychosociaux issues du rapport Gollac. Les exemples de situations a risque proposes sont issus du secteur ; ils doivent etre confrontes au travail reel par des entretiens, des observations ou des groupes de travail.</w:t>
      </w:r>
    </w:p>
    <w:p>
      <w:pPr>
        <w:spacing w:after="80"/>
      </w:pPr>
      <w:r>
        <w:rPr>
          <w:rFonts w:ascii="Arial" w:hAnsi="Arial"/>
          <w:b/>
          <w:color w:val="1A47B8"/>
          <w:sz w:val="22"/>
        </w:rPr>
        <w:t>Echelle de cotation utilisee :</w:t>
      </w:r>
    </w:p>
    <w:p>
      <w:pPr>
        <w:spacing w:after="40"/>
      </w:pPr>
      <w:r>
        <w:rPr>
          <w:rFonts w:ascii="Georgia" w:hAnsi="Georgia"/>
          <w:b w:val="0"/>
          <w:color w:val="1A1D2E"/>
          <w:sz w:val="20"/>
        </w:rPr>
        <w:t>Frequence : 1 = rare, 2 = occasionnelle, 3 = frequente, 4 = permanente</w:t>
      </w:r>
    </w:p>
    <w:p>
      <w:pPr>
        <w:spacing w:after="40"/>
      </w:pPr>
      <w:r>
        <w:rPr>
          <w:rFonts w:ascii="Georgia" w:hAnsi="Georgia"/>
          <w:b w:val="0"/>
          <w:color w:val="1A1D2E"/>
          <w:sz w:val="20"/>
        </w:rPr>
        <w:t>Gravite : 1 = faible, 2 = moderee, 3 = importante, 4 = tres grave</w:t>
      </w:r>
    </w:p>
    <w:p>
      <w:pPr>
        <w:spacing w:after="200"/>
      </w:pPr>
      <w:r>
        <w:rPr>
          <w:rFonts w:ascii="Georgia" w:hAnsi="Georgia"/>
          <w:b w:val="0"/>
          <w:color w:val="1A1D2E"/>
          <w:sz w:val="20"/>
        </w:rPr>
        <w:t>Maitrise : 1 = tres satisfaisante, 2 = satisfaisante, 3 = a renforcer, 4 = absente</w:t>
      </w:r>
    </w:p>
    <w:p>
      <w:pPr>
        <w:spacing w:before="280" w:after="120"/>
      </w:pPr>
      <w:r>
        <w:rPr>
          <w:rFonts w:ascii="Arial" w:hAnsi="Arial"/>
          <w:b/>
          <w:color w:val="1A47B8"/>
          <w:sz w:val="26"/>
        </w:rPr>
        <w:t>4.1. Unite de travail : Conducteurs routiers (longue distance, regional, urbain)</w:t>
      </w:r>
    </w:p>
    <w:p>
      <w:pPr>
        <w:spacing w:before="200" w:after="80"/>
      </w:pPr>
      <w:r>
        <w:rPr>
          <w:rFonts w:ascii="Arial" w:hAnsi="Arial"/>
          <w:b/>
          <w:color w:val="3366CC"/>
          <w:sz w:val="22"/>
        </w:rPr>
        <w:t>Intensite et temps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Cadences logistiques (commandes a l'heure, picking voice ou flash)</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Horaires decales, travail de nuit, week-ends et jours feries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les conducteurs : longues amplitudes journalieres, contraintes des temps de conduite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Polyvalence imposee dans les petits etablissements de commerce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Pics saisonniers (Noel, soldes, fetes) avec heures supplementaires non choisies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Exigences emotionnelles</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Gestion des incivilites et agressions clients (caisses, accueil, retours)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les conducteurs : isolement, agressivite routiere, incidents de la route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Tensions avec les chargeurs, donneurs d'ordre, clients livraison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 commerce : confrontation a des clients en difficulte (vols, demandes specifiques)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Pression hierarchique sur les ventes et les indicateurs en temps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Autonomie et marges de manoeuvre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Marges de manoeuvre tres reduites (procedures, voice picking, planning impose)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Geolocalisation et surveillance permanente (poids lourds, entrepots)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Faible participation aux decisions d'organisation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les conducteurs : isolement empechant les ajustements collectifs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Rapports sociaux et reconnaissance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Solitude des conducteurs et faible reconnaissance de la profession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Tensions entre equipes de jour et de nuit, week-end et semaine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Cloisonnement entre logistique, transport et commercial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 commerce : tensions client-employe relayees par la hierarchie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d'integration des saisonniers et CDD courts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Conflits de valeurs et qualite empechee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Tension entre exigences de productivite et qualite de service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Sentiment de degrader la prestation par manque de temps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les conducteurs : conflit entre temps de conduite reglementaires et exigences des donneurs d'ordre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 commerce : injonction de vente et reconnaissance des besoins reels des clients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Insecurite de la situation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Mutations technologiques rapides (automatisation entrepots, e-commerce, drive)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Restructurations et fermetures de magasins en zone urbaine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les conducteurs : usure professionnelle et difficultes en fin de carriere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Concurrence intense (low cost, pure players du e-commerce)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Precarisation des contrats courts et de l'interim</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r>
        <w:br w:type="page"/>
      </w:r>
    </w:p>
    <w:p>
      <w:pPr>
        <w:spacing w:before="280" w:after="120"/>
      </w:pPr>
      <w:r>
        <w:rPr>
          <w:rFonts w:ascii="Arial" w:hAnsi="Arial"/>
          <w:b/>
          <w:color w:val="1A47B8"/>
          <w:sz w:val="26"/>
        </w:rPr>
        <w:t>4.2. Unite de travail : Conducteurs de transport de voyageurs</w:t>
      </w:r>
    </w:p>
    <w:p>
      <w:pPr>
        <w:spacing w:before="200" w:after="80"/>
      </w:pPr>
      <w:r>
        <w:rPr>
          <w:rFonts w:ascii="Arial" w:hAnsi="Arial"/>
          <w:b/>
          <w:color w:val="3366CC"/>
          <w:sz w:val="22"/>
        </w:rPr>
        <w:t>Intensite et temps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Cadences logistiques (commandes a l'heure, picking voice ou flash)</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Horaires decales, travail de nuit, week-ends et jours feries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les conducteurs : longues amplitudes journalieres, contraintes des temps de conduite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Polyvalence imposee dans les petits etablissements de commerce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Pics saisonniers (Noel, soldes, fetes) avec heures supplementaires non choisies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Exigences emotionnelles</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Gestion des incivilites et agressions clients (caisses, accueil, retours)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les conducteurs : isolement, agressivite routiere, incidents de la route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Tensions avec les chargeurs, donneurs d'ordre, clients livraison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 commerce : confrontation a des clients en difficulte (vols, demandes specifiques)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Pression hierarchique sur les ventes et les indicateurs en temps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Autonomie et marges de manoeuvre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Marges de manoeuvre tres reduites (procedures, voice picking, planning impose)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Geolocalisation et surveillance permanente (poids lourds, entrepots)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Faible participation aux decisions d'organisation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les conducteurs : isolement empechant les ajustements collectifs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Rapports sociaux et reconnaissance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Solitude des conducteurs et faible reconnaissance de la profession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Tensions entre equipes de jour et de nuit, week-end et semaine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Cloisonnement entre logistique, transport et commercial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 commerce : tensions client-employe relayees par la hierarchie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d'integration des saisonniers et CDD courts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Conflits de valeurs et qualite empechee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Tension entre exigences de productivite et qualite de service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Sentiment de degrader la prestation par manque de temps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les conducteurs : conflit entre temps de conduite reglementaires et exigences des donneurs d'ordre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 commerce : injonction de vente et reconnaissance des besoins reels des clients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Insecurite de la situation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Mutations technologiques rapides (automatisation entrepots, e-commerce, drive)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Restructurations et fermetures de magasins en zone urbaine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les conducteurs : usure professionnelle et difficultes en fin de carriere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Concurrence intense (low cost, pure players du e-commerce)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Precarisation des contrats courts et de l'interim</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r>
        <w:br w:type="page"/>
      </w:r>
    </w:p>
    <w:p>
      <w:pPr>
        <w:spacing w:before="280" w:after="120"/>
      </w:pPr>
      <w:r>
        <w:rPr>
          <w:rFonts w:ascii="Arial" w:hAnsi="Arial"/>
          <w:b/>
          <w:color w:val="1A47B8"/>
          <w:sz w:val="26"/>
        </w:rPr>
        <w:t>4.3. Autres unites de travail</w:t>
      </w:r>
    </w:p>
    <w:p>
      <w:pPr>
        <w:spacing w:after="120"/>
      </w:pPr>
      <w:r>
        <w:rPr>
          <w:rFonts w:ascii="Georgia" w:hAnsi="Georgia"/>
          <w:b w:val="0"/>
          <w:color w:val="1A1D2E"/>
          <w:sz w:val="22"/>
        </w:rPr>
        <w:t>Les unites de travail suivantes doivent etre evaluees selon la meme structure (les six familles de facteurs avec les memes colonnes de cotation). Dupliquez la structure ci-dessus pour chaque unite identifiee dans la cartographie.</w:t>
      </w:r>
    </w:p>
    <w:p>
      <w:pPr>
        <w:spacing w:after="80"/>
      </w:pPr>
      <w:r>
        <w:rPr>
          <w:rFonts w:ascii="Georgia" w:hAnsi="Georgia"/>
          <w:b w:val="0"/>
          <w:color w:val="1A1D2E"/>
          <w:sz w:val="22"/>
        </w:rPr>
        <w:t>• Preparateurs de commandes et caristes</w:t>
      </w:r>
    </w:p>
    <w:p>
      <w:pPr>
        <w:spacing w:after="80"/>
      </w:pPr>
      <w:r>
        <w:rPr>
          <w:rFonts w:ascii="Georgia" w:hAnsi="Georgia"/>
          <w:b w:val="0"/>
          <w:color w:val="1A1D2E"/>
          <w:sz w:val="22"/>
        </w:rPr>
        <w:t>• Encadrement logistique (chefs d'equipe, responsables d'entrepot)</w:t>
      </w:r>
    </w:p>
    <w:p>
      <w:pPr>
        <w:spacing w:after="80"/>
      </w:pPr>
      <w:r>
        <w:rPr>
          <w:rFonts w:ascii="Georgia" w:hAnsi="Georgia"/>
          <w:b w:val="0"/>
          <w:color w:val="1A1D2E"/>
          <w:sz w:val="22"/>
        </w:rPr>
        <w:t>• Personnel de caisse et accueil client (commerce)</w:t>
      </w:r>
    </w:p>
    <w:p>
      <w:pPr>
        <w:spacing w:after="80"/>
      </w:pPr>
      <w:r>
        <w:rPr>
          <w:rFonts w:ascii="Georgia" w:hAnsi="Georgia"/>
          <w:b w:val="0"/>
          <w:color w:val="1A1D2E"/>
          <w:sz w:val="22"/>
        </w:rPr>
        <w:t>• Personnel de rayon et mise en rayon</w:t>
      </w:r>
    </w:p>
    <w:p>
      <w:pPr>
        <w:spacing w:after="80"/>
      </w:pPr>
      <w:r>
        <w:rPr>
          <w:rFonts w:ascii="Georgia" w:hAnsi="Georgia"/>
          <w:b w:val="0"/>
          <w:color w:val="1A1D2E"/>
          <w:sz w:val="22"/>
        </w:rPr>
        <w:t>• Encadrement de magasin (chefs de rayon, directeurs adjoints, directeurs)</w:t>
      </w:r>
    </w:p>
    <w:p>
      <w:pPr>
        <w:spacing w:after="80"/>
      </w:pPr>
      <w:r>
        <w:rPr>
          <w:rFonts w:ascii="Georgia" w:hAnsi="Georgia"/>
          <w:b w:val="0"/>
          <w:color w:val="1A1D2E"/>
          <w:sz w:val="22"/>
        </w:rPr>
        <w:t>• Fonctions supports (RH, comptabilite, achats, marketing)</w:t>
      </w:r>
    </w:p>
    <w:p>
      <w:pPr>
        <w:shd w:val="clear" w:color="auto" w:fill="E8F0FA"/>
        <w:spacing w:before="120" w:after="200"/>
        <w:ind w:left="170"/>
      </w:pPr>
      <w:r>
        <w:rPr>
          <w:rFonts w:ascii="Arial" w:hAnsi="Arial"/>
          <w:b/>
          <w:color w:val="002FA7"/>
          <w:sz w:val="20"/>
        </w:rPr>
        <w:t xml:space="preserve">Adaptation possible : </w:t>
      </w:r>
      <w:r>
        <w:rPr>
          <w:rFonts w:ascii="Georgia" w:hAnsi="Georgia"/>
          <w:color w:val="1A1D2E"/>
          <w:sz w:val="20"/>
        </w:rPr>
        <w:t>Pour les organisations dont l'effectif est faible et homogene, il est possible de regrouper plusieurs unites de travail similaires dans un meme tableau d'evaluation, a condition que l'exposition soit comparable.</w:t>
      </w:r>
    </w:p>
    <w:p>
      <w:r>
        <w:br w:type="page"/>
      </w:r>
    </w:p>
    <w:p>
      <w:pPr>
        <w:spacing w:before="360" w:after="200"/>
      </w:pPr>
      <w:r>
        <w:rPr>
          <w:rFonts w:ascii="Arial" w:hAnsi="Arial"/>
          <w:b/>
          <w:color w:val="002FA7"/>
          <w:sz w:val="36"/>
        </w:rPr>
        <w:t>5. Synthese par famille de facteurs de risques</w:t>
      </w:r>
    </w:p>
    <w:p>
      <w:pPr>
        <w:spacing w:after="120"/>
      </w:pPr>
      <w:r>
        <w:rPr>
          <w:rFonts w:ascii="Georgia" w:hAnsi="Georgia"/>
          <w:b w:val="0"/>
          <w:color w:val="1A1D2E"/>
          <w:sz w:val="22"/>
        </w:rPr>
        <w:t>Cette synthese consolide les evaluations realisees pour l'ensemble des unites de travail. Elle constitue la lecture transversale du DUERP-RPS et permet d'identifier les familles de facteurs sur lesquelles agir prioritairement.</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2493"/>
        <w:gridCol w:w="2493"/>
        <w:gridCol w:w="2493"/>
        <w:gridCol w:w="2493"/>
      </w:tblGrid>
      <w:tr>
        <w:tc>
          <w:tcPr>
            <w:tcW w:type="dxa" w:w="2493"/>
            <w:shd w:val="clear" w:color="auto" w:fill="002FA7"/>
          </w:tcPr>
          <w:p>
            <w:r>
              <w:rPr>
                <w:rFonts w:ascii="Arial" w:hAnsi="Arial"/>
                <w:b/>
                <w:color w:val="FFFFFF"/>
                <w:sz w:val="20"/>
              </w:rPr>
            </w:r>
            <w:r>
              <w:rPr>
                <w:rFonts w:ascii="Arial" w:hAnsi="Arial"/>
                <w:b/>
                <w:color w:val="FFFFFF"/>
                <w:sz w:val="20"/>
              </w:rPr>
              <w:t>Famille Gollac</w:t>
            </w:r>
          </w:p>
        </w:tc>
        <w:tc>
          <w:tcPr>
            <w:tcW w:type="dxa" w:w="2493"/>
            <w:shd w:val="clear" w:color="auto" w:fill="002FA7"/>
          </w:tcPr>
          <w:p>
            <w:r>
              <w:rPr>
                <w:rFonts w:ascii="Arial" w:hAnsi="Arial"/>
                <w:b/>
                <w:color w:val="FFFFFF"/>
                <w:sz w:val="20"/>
              </w:rPr>
            </w:r>
            <w:r>
              <w:rPr>
                <w:rFonts w:ascii="Arial" w:hAnsi="Arial"/>
                <w:b/>
                <w:color w:val="FFFFFF"/>
                <w:sz w:val="20"/>
              </w:rPr>
              <w:t>Niveau d'exposition global</w:t>
            </w:r>
          </w:p>
        </w:tc>
        <w:tc>
          <w:tcPr>
            <w:tcW w:type="dxa" w:w="2493"/>
            <w:shd w:val="clear" w:color="auto" w:fill="002FA7"/>
          </w:tcPr>
          <w:p>
            <w:r>
              <w:rPr>
                <w:rFonts w:ascii="Arial" w:hAnsi="Arial"/>
                <w:b/>
                <w:color w:val="FFFFFF"/>
                <w:sz w:val="20"/>
              </w:rPr>
            </w:r>
            <w:r>
              <w:rPr>
                <w:rFonts w:ascii="Arial" w:hAnsi="Arial"/>
                <w:b/>
                <w:color w:val="FFFFFF"/>
                <w:sz w:val="20"/>
              </w:rPr>
              <w:t>Unites les plus exposees</w:t>
            </w:r>
          </w:p>
        </w:tc>
        <w:tc>
          <w:tcPr>
            <w:tcW w:type="dxa" w:w="2493"/>
            <w:shd w:val="clear" w:color="auto" w:fill="002FA7"/>
          </w:tcPr>
          <w:p>
            <w:r>
              <w:rPr>
                <w:rFonts w:ascii="Arial" w:hAnsi="Arial"/>
                <w:b/>
                <w:color w:val="FFFFFF"/>
                <w:sz w:val="20"/>
              </w:rPr>
            </w:r>
            <w:r>
              <w:rPr>
                <w:rFonts w:ascii="Arial" w:hAnsi="Arial"/>
                <w:b/>
                <w:color w:val="FFFFFF"/>
                <w:sz w:val="20"/>
              </w:rPr>
              <w:t>Priorite d'action</w:t>
            </w:r>
          </w:p>
        </w:tc>
      </w:tr>
      <w:tr>
        <w:tc>
          <w:tcPr>
            <w:tcW w:type="dxa" w:w="2493"/>
          </w:tcPr>
          <w:p>
            <w:r/>
            <w:r>
              <w:rPr>
                <w:rFonts w:ascii="Arial" w:hAnsi="Arial"/>
                <w:b/>
                <w:color w:val="1A47B8"/>
                <w:sz w:val="20"/>
              </w:rPr>
              <w:t>Intensite et temps de travail</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Exigences emotionnelles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Autonomie et marges de manoeuvre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Rapports sociaux et reconnaissance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Conflits de valeurs et qualite empechee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Insecurite de la situation de travail</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bl>
    <w:p>
      <w:pPr>
        <w:spacing w:after="20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Methode : </w:t>
      </w:r>
      <w:r>
        <w:rPr>
          <w:rFonts w:ascii="Georgia" w:hAnsi="Georgia"/>
          <w:color w:val="1A1D2E"/>
          <w:sz w:val="20"/>
        </w:rPr>
        <w:t>La priorite d'action ne resulte pas seulement du niveau d'exposition mesure. Elle integre aussi le caractere irreversible des consequences possibles, la presence ou l'absence de leviers d'action disponibles, et l'urgence percue par les representants du personnel.</w:t>
      </w:r>
    </w:p>
    <w:p>
      <w:r>
        <w:br w:type="page"/>
      </w:r>
    </w:p>
    <w:p>
      <w:pPr>
        <w:spacing w:before="360" w:after="200"/>
      </w:pPr>
      <w:r>
        <w:rPr>
          <w:rFonts w:ascii="Arial" w:hAnsi="Arial"/>
          <w:b/>
          <w:color w:val="002FA7"/>
          <w:sz w:val="36"/>
        </w:rPr>
        <w:t>6. Plan de prevention</w:t>
      </w:r>
    </w:p>
    <w:p>
      <w:pPr>
        <w:spacing w:after="120"/>
      </w:pPr>
      <w:r>
        <w:rPr>
          <w:rFonts w:ascii="Georgia" w:hAnsi="Georgia"/>
          <w:b w:val="0"/>
          <w:color w:val="1A1D2E"/>
          <w:sz w:val="22"/>
        </w:rPr>
        <w:t>Le plan de prevention articule trois niveaux d'action complementaires. La prevention primaire vise a supprimer ou reduire les facteurs de risque a leur source par une action sur l'organisation du travail. La prevention secondaire developpe les ressources individuelles et collectives pour faire face aux situations a risque. La prevention tertiaire prend en charge les consequences des expositions deja survenues. Les trois niveaux ne s'excluent pas : ils se completent.</w:t>
      </w:r>
    </w:p>
    <w:p>
      <w:pPr>
        <w:spacing w:before="280" w:after="120"/>
      </w:pPr>
      <w:r>
        <w:rPr>
          <w:rFonts w:ascii="Arial" w:hAnsi="Arial"/>
          <w:b/>
          <w:color w:val="1A47B8"/>
          <w:sz w:val="26"/>
        </w:rPr>
        <w:t>Prevention primaire — agir sur l'organisation</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Action de prevention</w:t>
            </w:r>
          </w:p>
        </w:tc>
        <w:tc>
          <w:tcPr>
            <w:tcW w:type="dxa" w:w="1662"/>
            <w:shd w:val="clear" w:color="auto" w:fill="002FA7"/>
          </w:tcPr>
          <w:p>
            <w:r>
              <w:rPr>
                <w:rFonts w:ascii="Arial" w:hAnsi="Arial"/>
                <w:b/>
                <w:color w:val="FFFFFF"/>
                <w:sz w:val="20"/>
              </w:rPr>
            </w:r>
            <w:r>
              <w:rPr>
                <w:rFonts w:ascii="Arial" w:hAnsi="Arial"/>
                <w:b/>
                <w:color w:val="FFFFFF"/>
                <w:sz w:val="20"/>
              </w:rPr>
              <w:t>Famille(s) Gollac visee(s)</w:t>
            </w:r>
          </w:p>
        </w:tc>
        <w:tc>
          <w:tcPr>
            <w:tcW w:type="dxa" w:w="1662"/>
            <w:shd w:val="clear" w:color="auto" w:fill="002FA7"/>
          </w:tcPr>
          <w:p>
            <w:r>
              <w:rPr>
                <w:rFonts w:ascii="Arial" w:hAnsi="Arial"/>
                <w:b/>
                <w:color w:val="FFFFFF"/>
                <w:sz w:val="20"/>
              </w:rPr>
            </w:r>
            <w:r>
              <w:rPr>
                <w:rFonts w:ascii="Arial" w:hAnsi="Arial"/>
                <w:b/>
                <w:color w:val="FFFFFF"/>
                <w:sz w:val="20"/>
              </w:rPr>
              <w:t>Pilote</w:t>
            </w:r>
          </w:p>
        </w:tc>
        <w:tc>
          <w:tcPr>
            <w:tcW w:type="dxa" w:w="1662"/>
            <w:shd w:val="clear" w:color="auto" w:fill="002FA7"/>
          </w:tcPr>
          <w:p>
            <w:r>
              <w:rPr>
                <w:rFonts w:ascii="Arial" w:hAnsi="Arial"/>
                <w:b/>
                <w:color w:val="FFFFFF"/>
                <w:sz w:val="20"/>
              </w:rPr>
            </w:r>
            <w:r>
              <w:rPr>
                <w:rFonts w:ascii="Arial" w:hAnsi="Arial"/>
                <w:b/>
                <w:color w:val="FFFFFF"/>
                <w:sz w:val="20"/>
              </w:rPr>
              <w:t>Echeance</w:t>
            </w:r>
          </w:p>
        </w:tc>
        <w:tc>
          <w:tcPr>
            <w:tcW w:type="dxa" w:w="1662"/>
            <w:shd w:val="clear" w:color="auto" w:fill="002FA7"/>
          </w:tcPr>
          <w:p>
            <w:r>
              <w:rPr>
                <w:rFonts w:ascii="Arial" w:hAnsi="Arial"/>
                <w:b/>
                <w:color w:val="FFFFFF"/>
                <w:sz w:val="20"/>
              </w:rPr>
            </w:r>
            <w:r>
              <w:rPr>
                <w:rFonts w:ascii="Arial" w:hAnsi="Arial"/>
                <w:b/>
                <w:color w:val="FFFFFF"/>
                <w:sz w:val="20"/>
              </w:rPr>
              <w:t>Moyens</w:t>
            </w:r>
          </w:p>
        </w:tc>
        <w:tc>
          <w:tcPr>
            <w:tcW w:type="dxa" w:w="1662"/>
            <w:shd w:val="clear" w:color="auto" w:fill="002FA7"/>
          </w:tcPr>
          <w:p>
            <w:r>
              <w:rPr>
                <w:rFonts w:ascii="Arial" w:hAnsi="Arial"/>
                <w:b/>
                <w:color w:val="FFFFFF"/>
                <w:sz w:val="20"/>
              </w:rPr>
            </w:r>
            <w:r>
              <w:rPr>
                <w:rFonts w:ascii="Arial" w:hAnsi="Arial"/>
                <w:b/>
                <w:color w:val="FFFFFF"/>
                <w:sz w:val="20"/>
              </w:rPr>
              <w:t>Indicateur de suivi</w:t>
            </w:r>
          </w:p>
        </w:tc>
      </w:tr>
      <w:tr>
        <w:tc>
          <w:tcPr>
            <w:tcW w:type="dxa" w:w="1662"/>
          </w:tcPr>
          <w:p>
            <w:r/>
            <w:r>
              <w:rPr>
                <w:rFonts w:ascii="Georgia" w:hAnsi="Georgia"/>
                <w:b w:val="0"/>
                <w:color w:val="1A1D2E"/>
                <w:sz w:val="18"/>
              </w:rPr>
              <w:t>Refonte des plannings integrant des marges de manoeuvre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Reduction des cadences imposees sur les postes les plus exposes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Securisation des accueils et caisses (amenagement, equipes, formation)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les conducteurs : tournees mieux pensees, temps de repos respectes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Ergonomie des postes de preparation et de manutention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160"/>
      </w:pPr>
      <w:r>
        <w:rPr>
          <w:rFonts w:ascii="Georgia" w:hAnsi="Georgia"/>
          <w:b w:val="0"/>
          <w:color w:val="1A1D2E"/>
          <w:sz w:val="22"/>
        </w:rPr>
      </w:r>
    </w:p>
    <w:p>
      <w:pPr>
        <w:spacing w:before="280" w:after="120"/>
      </w:pPr>
      <w:r>
        <w:rPr>
          <w:rFonts w:ascii="Arial" w:hAnsi="Arial"/>
          <w:b/>
          <w:color w:val="1A47B8"/>
          <w:sz w:val="26"/>
        </w:rPr>
        <w:t>Prevention secondaire — renforcer les ressources</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Action de prevention</w:t>
            </w:r>
          </w:p>
        </w:tc>
        <w:tc>
          <w:tcPr>
            <w:tcW w:type="dxa" w:w="1662"/>
            <w:shd w:val="clear" w:color="auto" w:fill="002FA7"/>
          </w:tcPr>
          <w:p>
            <w:r>
              <w:rPr>
                <w:rFonts w:ascii="Arial" w:hAnsi="Arial"/>
                <w:b/>
                <w:color w:val="FFFFFF"/>
                <w:sz w:val="20"/>
              </w:rPr>
            </w:r>
            <w:r>
              <w:rPr>
                <w:rFonts w:ascii="Arial" w:hAnsi="Arial"/>
                <w:b/>
                <w:color w:val="FFFFFF"/>
                <w:sz w:val="20"/>
              </w:rPr>
              <w:t>Famille(s) Gollac visee(s)</w:t>
            </w:r>
          </w:p>
        </w:tc>
        <w:tc>
          <w:tcPr>
            <w:tcW w:type="dxa" w:w="1662"/>
            <w:shd w:val="clear" w:color="auto" w:fill="002FA7"/>
          </w:tcPr>
          <w:p>
            <w:r>
              <w:rPr>
                <w:rFonts w:ascii="Arial" w:hAnsi="Arial"/>
                <w:b/>
                <w:color w:val="FFFFFF"/>
                <w:sz w:val="20"/>
              </w:rPr>
            </w:r>
            <w:r>
              <w:rPr>
                <w:rFonts w:ascii="Arial" w:hAnsi="Arial"/>
                <w:b/>
                <w:color w:val="FFFFFF"/>
                <w:sz w:val="20"/>
              </w:rPr>
              <w:t>Pilote</w:t>
            </w:r>
          </w:p>
        </w:tc>
        <w:tc>
          <w:tcPr>
            <w:tcW w:type="dxa" w:w="1662"/>
            <w:shd w:val="clear" w:color="auto" w:fill="002FA7"/>
          </w:tcPr>
          <w:p>
            <w:r>
              <w:rPr>
                <w:rFonts w:ascii="Arial" w:hAnsi="Arial"/>
                <w:b/>
                <w:color w:val="FFFFFF"/>
                <w:sz w:val="20"/>
              </w:rPr>
            </w:r>
            <w:r>
              <w:rPr>
                <w:rFonts w:ascii="Arial" w:hAnsi="Arial"/>
                <w:b/>
                <w:color w:val="FFFFFF"/>
                <w:sz w:val="20"/>
              </w:rPr>
              <w:t>Echeance</w:t>
            </w:r>
          </w:p>
        </w:tc>
        <w:tc>
          <w:tcPr>
            <w:tcW w:type="dxa" w:w="1662"/>
            <w:shd w:val="clear" w:color="auto" w:fill="002FA7"/>
          </w:tcPr>
          <w:p>
            <w:r>
              <w:rPr>
                <w:rFonts w:ascii="Arial" w:hAnsi="Arial"/>
                <w:b/>
                <w:color w:val="FFFFFF"/>
                <w:sz w:val="20"/>
              </w:rPr>
            </w:r>
            <w:r>
              <w:rPr>
                <w:rFonts w:ascii="Arial" w:hAnsi="Arial"/>
                <w:b/>
                <w:color w:val="FFFFFF"/>
                <w:sz w:val="20"/>
              </w:rPr>
              <w:t>Moyens</w:t>
            </w:r>
          </w:p>
        </w:tc>
        <w:tc>
          <w:tcPr>
            <w:tcW w:type="dxa" w:w="1662"/>
            <w:shd w:val="clear" w:color="auto" w:fill="002FA7"/>
          </w:tcPr>
          <w:p>
            <w:r>
              <w:rPr>
                <w:rFonts w:ascii="Arial" w:hAnsi="Arial"/>
                <w:b/>
                <w:color w:val="FFFFFF"/>
                <w:sz w:val="20"/>
              </w:rPr>
            </w:r>
            <w:r>
              <w:rPr>
                <w:rFonts w:ascii="Arial" w:hAnsi="Arial"/>
                <w:b/>
                <w:color w:val="FFFFFF"/>
                <w:sz w:val="20"/>
              </w:rPr>
              <w:t>Indicateur de suivi</w:t>
            </w:r>
          </w:p>
        </w:tc>
      </w:tr>
      <w:tr>
        <w:tc>
          <w:tcPr>
            <w:tcW w:type="dxa" w:w="1662"/>
          </w:tcPr>
          <w:p>
            <w:r/>
            <w:r>
              <w:rPr>
                <w:rFonts w:ascii="Georgia" w:hAnsi="Georgia"/>
                <w:b w:val="0"/>
                <w:color w:val="1A1D2E"/>
                <w:sz w:val="18"/>
              </w:rPr>
              <w:t>Formation des encadrants au management bienveillant et a la detection precoce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Sensibilisation a la gestion des incivilites et agressions clients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Pour les conducteurs : groupes d'echanges, rencontres physiques regulieres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Tutorat des nouveaux embauches et saisonniers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160"/>
      </w:pPr>
      <w:r>
        <w:rPr>
          <w:rFonts w:ascii="Georgia" w:hAnsi="Georgia"/>
          <w:b w:val="0"/>
          <w:color w:val="1A1D2E"/>
          <w:sz w:val="22"/>
        </w:rPr>
      </w:r>
    </w:p>
    <w:p>
      <w:pPr>
        <w:spacing w:before="280" w:after="120"/>
      </w:pPr>
      <w:r>
        <w:rPr>
          <w:rFonts w:ascii="Arial" w:hAnsi="Arial"/>
          <w:b/>
          <w:color w:val="1A47B8"/>
          <w:sz w:val="26"/>
        </w:rPr>
        <w:t>Prevention tertiaire — prendre en charge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Action de prevention</w:t>
            </w:r>
          </w:p>
        </w:tc>
        <w:tc>
          <w:tcPr>
            <w:tcW w:type="dxa" w:w="1662"/>
            <w:shd w:val="clear" w:color="auto" w:fill="002FA7"/>
          </w:tcPr>
          <w:p>
            <w:r>
              <w:rPr>
                <w:rFonts w:ascii="Arial" w:hAnsi="Arial"/>
                <w:b/>
                <w:color w:val="FFFFFF"/>
                <w:sz w:val="20"/>
              </w:rPr>
            </w:r>
            <w:r>
              <w:rPr>
                <w:rFonts w:ascii="Arial" w:hAnsi="Arial"/>
                <w:b/>
                <w:color w:val="FFFFFF"/>
                <w:sz w:val="20"/>
              </w:rPr>
              <w:t>Famille(s) Gollac visee(s)</w:t>
            </w:r>
          </w:p>
        </w:tc>
        <w:tc>
          <w:tcPr>
            <w:tcW w:type="dxa" w:w="1662"/>
            <w:shd w:val="clear" w:color="auto" w:fill="002FA7"/>
          </w:tcPr>
          <w:p>
            <w:r>
              <w:rPr>
                <w:rFonts w:ascii="Arial" w:hAnsi="Arial"/>
                <w:b/>
                <w:color w:val="FFFFFF"/>
                <w:sz w:val="20"/>
              </w:rPr>
            </w:r>
            <w:r>
              <w:rPr>
                <w:rFonts w:ascii="Arial" w:hAnsi="Arial"/>
                <w:b/>
                <w:color w:val="FFFFFF"/>
                <w:sz w:val="20"/>
              </w:rPr>
              <w:t>Pilote</w:t>
            </w:r>
          </w:p>
        </w:tc>
        <w:tc>
          <w:tcPr>
            <w:tcW w:type="dxa" w:w="1662"/>
            <w:shd w:val="clear" w:color="auto" w:fill="002FA7"/>
          </w:tcPr>
          <w:p>
            <w:r>
              <w:rPr>
                <w:rFonts w:ascii="Arial" w:hAnsi="Arial"/>
                <w:b/>
                <w:color w:val="FFFFFF"/>
                <w:sz w:val="20"/>
              </w:rPr>
            </w:r>
            <w:r>
              <w:rPr>
                <w:rFonts w:ascii="Arial" w:hAnsi="Arial"/>
                <w:b/>
                <w:color w:val="FFFFFF"/>
                <w:sz w:val="20"/>
              </w:rPr>
              <w:t>Echeance</w:t>
            </w:r>
          </w:p>
        </w:tc>
        <w:tc>
          <w:tcPr>
            <w:tcW w:type="dxa" w:w="1662"/>
            <w:shd w:val="clear" w:color="auto" w:fill="002FA7"/>
          </w:tcPr>
          <w:p>
            <w:r>
              <w:rPr>
                <w:rFonts w:ascii="Arial" w:hAnsi="Arial"/>
                <w:b/>
                <w:color w:val="FFFFFF"/>
                <w:sz w:val="20"/>
              </w:rPr>
            </w:r>
            <w:r>
              <w:rPr>
                <w:rFonts w:ascii="Arial" w:hAnsi="Arial"/>
                <w:b/>
                <w:color w:val="FFFFFF"/>
                <w:sz w:val="20"/>
              </w:rPr>
              <w:t>Moyens</w:t>
            </w:r>
          </w:p>
        </w:tc>
        <w:tc>
          <w:tcPr>
            <w:tcW w:type="dxa" w:w="1662"/>
            <w:shd w:val="clear" w:color="auto" w:fill="002FA7"/>
          </w:tcPr>
          <w:p>
            <w:r>
              <w:rPr>
                <w:rFonts w:ascii="Arial" w:hAnsi="Arial"/>
                <w:b/>
                <w:color w:val="FFFFFF"/>
                <w:sz w:val="20"/>
              </w:rPr>
            </w:r>
            <w:r>
              <w:rPr>
                <w:rFonts w:ascii="Arial" w:hAnsi="Arial"/>
                <w:b/>
                <w:color w:val="FFFFFF"/>
                <w:sz w:val="20"/>
              </w:rPr>
              <w:t>Indicateur de suivi</w:t>
            </w:r>
          </w:p>
        </w:tc>
      </w:tr>
      <w:tr>
        <w:tc>
          <w:tcPr>
            <w:tcW w:type="dxa" w:w="1662"/>
          </w:tcPr>
          <w:p>
            <w:r/>
            <w:r>
              <w:rPr>
                <w:rFonts w:ascii="Georgia" w:hAnsi="Georgia"/>
                <w:b w:val="0"/>
                <w:color w:val="1A1D2E"/>
                <w:sz w:val="18"/>
              </w:rPr>
              <w:t>Protocole post-agression avec accompagnement psychologique systematique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Cellule d'ecoute externalisee accessible 24h/24 pour les conducteurs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Mobilisation du SPST pour reclassement et amenagement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Dispositif de fin de carriere et accompagnement vers les metiers moins penibles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16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Point de vigilance : </w:t>
      </w:r>
      <w:r>
        <w:rPr>
          <w:rFonts w:ascii="Georgia" w:hAnsi="Georgia"/>
          <w:color w:val="1A1D2E"/>
          <w:sz w:val="20"/>
        </w:rPr>
        <w:t>La concentration exclusive sur la prevention secondaire (formations, gestion du stress) ou tertiaire (accompagnement des situations) est un piege classique. Sans action sur les causes organisationnelles, les efforts se diluent et la souffrance se renouvelle.</w:t>
      </w:r>
    </w:p>
    <w:p>
      <w:r>
        <w:br w:type="page"/>
      </w:r>
    </w:p>
    <w:p>
      <w:pPr>
        <w:spacing w:before="360" w:after="200"/>
      </w:pPr>
      <w:r>
        <w:rPr>
          <w:rFonts w:ascii="Arial" w:hAnsi="Arial"/>
          <w:b/>
          <w:color w:val="002FA7"/>
          <w:sz w:val="36"/>
        </w:rPr>
        <w:t>7. Indicateurs de suivi</w:t>
      </w:r>
    </w:p>
    <w:p>
      <w:pPr>
        <w:spacing w:after="120"/>
      </w:pPr>
      <w:r>
        <w:rPr>
          <w:rFonts w:ascii="Georgia" w:hAnsi="Georgia"/>
          <w:b w:val="0"/>
          <w:color w:val="1A1D2E"/>
          <w:sz w:val="22"/>
        </w:rPr>
        <w:t>Les indicateurs de suivi permettent de tracer dans la duree l'effet des actions engagees et de detecter precocement les degradations. Les indicateurs proposes ci-dessous sont adaptes au secteur ; ils sont a completer par les indicateurs deja disponibles dans l'organisation.</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2493"/>
        <w:gridCol w:w="2493"/>
        <w:gridCol w:w="2493"/>
        <w:gridCol w:w="2493"/>
      </w:tblGrid>
      <w:tr>
        <w:tc>
          <w:tcPr>
            <w:tcW w:type="dxa" w:w="2493"/>
            <w:shd w:val="clear" w:color="auto" w:fill="002FA7"/>
          </w:tcPr>
          <w:p>
            <w:r>
              <w:rPr>
                <w:rFonts w:ascii="Arial" w:hAnsi="Arial"/>
                <w:b/>
                <w:color w:val="FFFFFF"/>
                <w:sz w:val="20"/>
              </w:rPr>
            </w:r>
            <w:r>
              <w:rPr>
                <w:rFonts w:ascii="Arial" w:hAnsi="Arial"/>
                <w:b/>
                <w:color w:val="FFFFFF"/>
                <w:sz w:val="20"/>
              </w:rPr>
              <w:t>Indicateur</w:t>
            </w:r>
          </w:p>
        </w:tc>
        <w:tc>
          <w:tcPr>
            <w:tcW w:type="dxa" w:w="2493"/>
            <w:shd w:val="clear" w:color="auto" w:fill="002FA7"/>
          </w:tcPr>
          <w:p>
            <w:r>
              <w:rPr>
                <w:rFonts w:ascii="Arial" w:hAnsi="Arial"/>
                <w:b/>
                <w:color w:val="FFFFFF"/>
                <w:sz w:val="20"/>
              </w:rPr>
            </w:r>
            <w:r>
              <w:rPr>
                <w:rFonts w:ascii="Arial" w:hAnsi="Arial"/>
                <w:b/>
                <w:color w:val="FFFFFF"/>
                <w:sz w:val="20"/>
              </w:rPr>
              <w:t>Periodicite de releve</w:t>
            </w:r>
          </w:p>
        </w:tc>
        <w:tc>
          <w:tcPr>
            <w:tcW w:type="dxa" w:w="2493"/>
            <w:shd w:val="clear" w:color="auto" w:fill="002FA7"/>
          </w:tcPr>
          <w:p>
            <w:r>
              <w:rPr>
                <w:rFonts w:ascii="Arial" w:hAnsi="Arial"/>
                <w:b/>
                <w:color w:val="FFFFFF"/>
                <w:sz w:val="20"/>
              </w:rPr>
            </w:r>
            <w:r>
              <w:rPr>
                <w:rFonts w:ascii="Arial" w:hAnsi="Arial"/>
                <w:b/>
                <w:color w:val="FFFFFF"/>
                <w:sz w:val="20"/>
              </w:rPr>
              <w:t>Source / responsable</w:t>
            </w:r>
          </w:p>
        </w:tc>
        <w:tc>
          <w:tcPr>
            <w:tcW w:type="dxa" w:w="2493"/>
            <w:shd w:val="clear" w:color="auto" w:fill="002FA7"/>
          </w:tcPr>
          <w:p>
            <w:r>
              <w:rPr>
                <w:rFonts w:ascii="Arial" w:hAnsi="Arial"/>
                <w:b/>
                <w:color w:val="FFFFFF"/>
                <w:sz w:val="20"/>
              </w:rPr>
            </w:r>
            <w:r>
              <w:rPr>
                <w:rFonts w:ascii="Arial" w:hAnsi="Arial"/>
                <w:b/>
                <w:color w:val="FFFFFF"/>
                <w:sz w:val="20"/>
              </w:rPr>
              <w:t>Valeur de reference</w:t>
            </w:r>
          </w:p>
        </w:tc>
      </w:tr>
      <w:tr>
        <w:tc>
          <w:tcPr>
            <w:tcW w:type="dxa" w:w="2493"/>
          </w:tcPr>
          <w:p>
            <w:r/>
            <w:r>
              <w:rPr>
                <w:rFonts w:ascii="Georgia" w:hAnsi="Georgia"/>
                <w:b w:val="0"/>
                <w:color w:val="1A1D2E"/>
                <w:sz w:val="20"/>
              </w:rPr>
              <w:t>Taux de frequence et de gravite des accidents du travail</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Taux d'absenteisme par site, par equipe, par metier</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Taux de turnover (particulierement eleve dans le secteur)</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Nombre d'incidents declares (vols, agressions, incivilites)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Nombre de saisines du medecin du travail pour TMS et usure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Pour le transport : nombre d'infractions reglementaires et d'accidents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Volume d'heures supplementaires et amplitudes journalieres moyennes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Taux de recours a l'interim et aux saisonniers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bl>
    <w:p>
      <w:pPr>
        <w:spacing w:after="16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Methode : </w:t>
      </w:r>
      <w:r>
        <w:rPr>
          <w:rFonts w:ascii="Georgia" w:hAnsi="Georgia"/>
          <w:color w:val="1A1D2E"/>
          <w:sz w:val="20"/>
        </w:rPr>
        <w:t>Un indicateur en hausse ne vaut pas en soi alerte ; un indicateur stable ne vaut pas en soi rassurance. La lecture des indicateurs gagne a etre realisee collectivement avec les representants du personnel et confrontee aux retours qualitatifs du terrain.</w:t>
      </w:r>
    </w:p>
    <w:p>
      <w:r>
        <w:br w:type="page"/>
      </w:r>
    </w:p>
    <w:p>
      <w:pPr>
        <w:spacing w:before="360" w:after="200"/>
      </w:pPr>
      <w:r>
        <w:rPr>
          <w:rFonts w:ascii="Arial" w:hAnsi="Arial"/>
          <w:b/>
          <w:color w:val="002FA7"/>
          <w:sz w:val="36"/>
        </w:rPr>
        <w:t>8. Modalites de revision et de communication</w:t>
      </w:r>
    </w:p>
    <w:p>
      <w:pPr>
        <w:spacing w:before="280" w:after="120"/>
      </w:pPr>
      <w:r>
        <w:rPr>
          <w:rFonts w:ascii="Arial" w:hAnsi="Arial"/>
          <w:b/>
          <w:color w:val="1A47B8"/>
          <w:sz w:val="26"/>
        </w:rPr>
        <w:t>8.1. Calendrier de revision</w:t>
      </w:r>
    </w:p>
    <w:p>
      <w:pPr>
        <w:spacing w:after="120"/>
      </w:pPr>
      <w:r>
        <w:rPr>
          <w:rFonts w:ascii="Georgia" w:hAnsi="Georgia"/>
          <w:b w:val="0"/>
          <w:color w:val="1A1D2E"/>
          <w:sz w:val="22"/>
        </w:rPr>
        <w:t>Le DUERP fait l'objet d'une revision au moins annuelle. Par ailleurs, toute modification importante des conditions de travail entraine une revision specifique : restructuration, demenagement, deploiement d'un nouveau logiciel, modification des horaires, plan social, fusion ou reprise. Toute information complementaire relative a l'evaluation des risques (accident grave, fiches d'evenement indesirable, enquete interne) doit egalement faire l'objet d'une consolidation dans le document.</w:t>
      </w:r>
    </w:p>
    <w:p>
      <w:pPr>
        <w:spacing w:before="280" w:after="120"/>
      </w:pPr>
      <w:r>
        <w:rPr>
          <w:rFonts w:ascii="Arial" w:hAnsi="Arial"/>
          <w:b/>
          <w:color w:val="1A47B8"/>
          <w:sz w:val="26"/>
        </w:rPr>
        <w:t>8.2. Communication aux salaries et aux representants</w:t>
      </w:r>
    </w:p>
    <w:p>
      <w:pPr>
        <w:spacing w:after="120"/>
      </w:pPr>
      <w:r>
        <w:rPr>
          <w:rFonts w:ascii="Georgia" w:hAnsi="Georgia"/>
          <w:b w:val="0"/>
          <w:color w:val="1A1D2E"/>
          <w:sz w:val="22"/>
        </w:rPr>
        <w:t>Le DUERP doit etre accessible aux salaries, aux representants du personnel, au SPST et a l'inspection du travail. Cette accessibilite ne suffit pas : la demarche RPS ne prend son sens que si les enseignements du diagnostic sont restitues aux equipes concernees et que les actions de prevention font l'objet de bilans reguliers.</w:t>
      </w:r>
    </w:p>
    <w:p>
      <w:pPr>
        <w:shd w:val="clear" w:color="auto" w:fill="E8F0FA"/>
        <w:spacing w:before="120" w:after="200"/>
        <w:ind w:left="170"/>
      </w:pPr>
      <w:r>
        <w:rPr>
          <w:rFonts w:ascii="Arial" w:hAnsi="Arial"/>
          <w:b/>
          <w:color w:val="002FA7"/>
          <w:sz w:val="20"/>
        </w:rPr>
        <w:t xml:space="preserve">Bonne pratique : </w:t>
      </w:r>
      <w:r>
        <w:rPr>
          <w:rFonts w:ascii="Georgia" w:hAnsi="Georgia"/>
          <w:color w:val="1A1D2E"/>
          <w:sz w:val="20"/>
        </w:rPr>
        <w:t>La restitution ecrite ne suffit pas. La presentation orale des enseignements du DUERP-RPS aux equipes concernees, suivie d'un temps d'echange, conditionne l'appropriation collective et la legitimite des mesures de prevention.</w:t>
      </w:r>
    </w:p>
    <w:p>
      <w:r>
        <w:br w:type="page"/>
      </w:r>
    </w:p>
    <w:p>
      <w:pPr>
        <w:spacing w:before="360" w:after="200"/>
      </w:pPr>
      <w:r>
        <w:rPr>
          <w:rFonts w:ascii="Arial" w:hAnsi="Arial"/>
          <w:b/>
          <w:color w:val="002FA7"/>
          <w:sz w:val="36"/>
        </w:rPr>
        <w:t>9. Annexes : references juridiques et ressources sectorielles</w:t>
      </w:r>
    </w:p>
    <w:p>
      <w:pPr>
        <w:spacing w:before="280" w:after="120"/>
      </w:pPr>
      <w:r>
        <w:rPr>
          <w:rFonts w:ascii="Arial" w:hAnsi="Arial"/>
          <w:b/>
          <w:color w:val="1A47B8"/>
          <w:sz w:val="26"/>
        </w:rPr>
        <w:t>9.1. References juridiques applicables</w:t>
      </w:r>
    </w:p>
    <w:p>
      <w:pPr>
        <w:spacing w:after="80"/>
      </w:pPr>
      <w:r>
        <w:rPr>
          <w:rFonts w:ascii="Georgia" w:hAnsi="Georgia"/>
          <w:color w:val="1A1D2E"/>
          <w:sz w:val="20"/>
        </w:rPr>
        <w:t>• Code du travail, articles L.4121-1 a L.4121-5</w:t>
      </w:r>
    </w:p>
    <w:p>
      <w:pPr>
        <w:spacing w:after="80"/>
      </w:pPr>
      <w:r>
        <w:rPr>
          <w:rFonts w:ascii="Georgia" w:hAnsi="Georgia"/>
          <w:color w:val="1A1D2E"/>
          <w:sz w:val="20"/>
        </w:rPr>
        <w:t>• Decret du 5 novembre 2001 (DUERP)</w:t>
      </w:r>
    </w:p>
    <w:p>
      <w:pPr>
        <w:spacing w:after="80"/>
      </w:pPr>
      <w:r>
        <w:rPr>
          <w:rFonts w:ascii="Georgia" w:hAnsi="Georgia"/>
          <w:color w:val="1A1D2E"/>
          <w:sz w:val="20"/>
        </w:rPr>
        <w:t>• Loi du 2 aout 2021 pour renforcer la prevention en sante au travail</w:t>
      </w:r>
    </w:p>
    <w:p>
      <w:pPr>
        <w:spacing w:after="80"/>
      </w:pPr>
      <w:r>
        <w:rPr>
          <w:rFonts w:ascii="Georgia" w:hAnsi="Georgia"/>
          <w:color w:val="1A1D2E"/>
          <w:sz w:val="20"/>
        </w:rPr>
        <w:t>• Reglementation europeenne sur les temps de conduite et de repos (transport)</w:t>
      </w:r>
    </w:p>
    <w:p>
      <w:pPr>
        <w:spacing w:after="80"/>
      </w:pPr>
      <w:r>
        <w:rPr>
          <w:rFonts w:ascii="Georgia" w:hAnsi="Georgia"/>
          <w:color w:val="1A1D2E"/>
          <w:sz w:val="20"/>
        </w:rPr>
        <w:t>• Convention collective du TRM, de la logistique, du commerce de detail</w:t>
      </w:r>
    </w:p>
    <w:p>
      <w:pPr>
        <w:spacing w:after="80"/>
      </w:pPr>
      <w:r>
        <w:rPr>
          <w:rFonts w:ascii="Georgia" w:hAnsi="Georgia"/>
          <w:color w:val="1A1D2E"/>
          <w:sz w:val="20"/>
        </w:rPr>
        <w:t>• Brochure INRS ED 6403 - outil RPS-DU</w:t>
      </w:r>
    </w:p>
    <w:p>
      <w:pPr>
        <w:spacing w:after="80"/>
      </w:pPr>
      <w:r>
        <w:rPr>
          <w:rFonts w:ascii="Georgia" w:hAnsi="Georgia"/>
          <w:color w:val="1A1D2E"/>
          <w:sz w:val="20"/>
        </w:rPr>
        <w:t>• Reglementation specifique sur le travail dominical et nocturne (commerce)</w:t>
      </w:r>
    </w:p>
    <w:p>
      <w:pPr>
        <w:spacing w:before="280" w:after="120"/>
      </w:pPr>
      <w:r>
        <w:rPr>
          <w:rFonts w:ascii="Arial" w:hAnsi="Arial"/>
          <w:b/>
          <w:color w:val="1A47B8"/>
          <w:sz w:val="26"/>
        </w:rPr>
        <w:t>9.2. Ressources sectorielles mobilisables</w:t>
      </w:r>
    </w:p>
    <w:p>
      <w:pPr>
        <w:spacing w:after="80"/>
      </w:pPr>
      <w:r>
        <w:rPr>
          <w:rFonts w:ascii="Georgia" w:hAnsi="Georgia"/>
          <w:color w:val="1A1D2E"/>
          <w:sz w:val="20"/>
        </w:rPr>
        <w:t>• AFT, OPCO Mobilites - dispositifs pour le secteur transport</w:t>
      </w:r>
    </w:p>
    <w:p>
      <w:pPr>
        <w:spacing w:after="80"/>
      </w:pPr>
      <w:r>
        <w:rPr>
          <w:rFonts w:ascii="Georgia" w:hAnsi="Georgia"/>
          <w:color w:val="1A1D2E"/>
          <w:sz w:val="20"/>
        </w:rPr>
        <w:t>• OPCO Akto, OPCO 2i - secteur commerce et logistique</w:t>
      </w:r>
    </w:p>
    <w:p>
      <w:pPr>
        <w:spacing w:after="80"/>
      </w:pPr>
      <w:r>
        <w:rPr>
          <w:rFonts w:ascii="Georgia" w:hAnsi="Georgia"/>
          <w:color w:val="1A1D2E"/>
          <w:sz w:val="20"/>
        </w:rPr>
        <w:t>• FNTR, OTRE, FFC - federations professionnelles transport</w:t>
      </w:r>
    </w:p>
    <w:p>
      <w:pPr>
        <w:spacing w:after="80"/>
      </w:pPr>
      <w:r>
        <w:rPr>
          <w:rFonts w:ascii="Georgia" w:hAnsi="Georgia"/>
          <w:color w:val="1A1D2E"/>
          <w:sz w:val="20"/>
        </w:rPr>
        <w:t>• INRS - brochures TMS, conduite, manutention</w:t>
      </w:r>
    </w:p>
    <w:p>
      <w:pPr>
        <w:spacing w:after="80"/>
      </w:pPr>
      <w:r>
        <w:rPr>
          <w:rFonts w:ascii="Georgia" w:hAnsi="Georgia"/>
          <w:color w:val="1A1D2E"/>
          <w:sz w:val="20"/>
        </w:rPr>
        <w:t>• ANACT - dossiers QVCT logistique et commerce</w:t>
      </w:r>
    </w:p>
    <w:p>
      <w:pPr>
        <w:spacing w:before="280" w:after="120"/>
      </w:pPr>
      <w:r>
        <w:rPr>
          <w:rFonts w:ascii="Arial" w:hAnsi="Arial"/>
          <w:b/>
          <w:color w:val="1A47B8"/>
          <w:sz w:val="26"/>
        </w:rPr>
        <w:t>9.3. Pour aller plus loin</w:t>
      </w:r>
    </w:p>
    <w:p>
      <w:pPr>
        <w:spacing w:after="120"/>
      </w:pPr>
      <w:r>
        <w:rPr>
          <w:rFonts w:ascii="Georgia" w:hAnsi="Georgia"/>
          <w:b w:val="0"/>
          <w:color w:val="1A1D2E"/>
          <w:sz w:val="22"/>
        </w:rPr>
        <w:t>Le present modele est concu pour servir de base de travail mais ne se substitue pas a l'expertise des acteurs internes et a la dynamique participative qu'appelle une demarche DUERP-RPS robuste. L'ouvrage DUERP-RPS en pratique, disponible sur psychologiedutravail.org, detaille la methode, les outils mobilisables et les modes d'animation de la demarche. Le site propose egalement un kit d'outils complementaires : grilles d'analyse, guides d'entretien, trames d'indicateurs et chartes de fonctionnement de comite de pilotage.</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Une demarche DUERP-RPS robuste mobilise simultanement le cadre juridique, la methode (rapport Gollac, outil RPS-DU de l'INRS), l'expertise du SPST et la connaissance fine que les salaries ont de leur propre travail. C'est dans cette articulation que se joue la qualite du diagnostic et la portee preventive du document.</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i/>
        <w:color w:val="5A607A"/>
        <w:sz w:val="16"/>
      </w:rPr>
      <w:t>psychologiedutravail.org · Modele DUERP-RPS gratuit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8" w:color="002FA7"/>
      </w:pBdr>
    </w:pPr>
  </w:p>
  <w:tbl>
    <w:tblPr>
      <w:tblW w:type="auto" w:w="0"/>
      <w:tblLayout w:type="autofit"/>
      <w:tblLook w:firstColumn="1" w:firstRow="1" w:lastColumn="0" w:lastRow="0" w:noHBand="0" w:noVBand="1" w:val="04A0"/>
    </w:tblPr>
    <w:tblGrid>
      <w:gridCol w:w="4819"/>
      <w:gridCol w:w="4819"/>
    </w:tblGrid>
    <w:tr>
      <w:tc>
        <w:tcPr>
          <w:tcW w:type="dxa" w:w="4819"/>
        </w:tcPr>
        <w:p>
          <w:r/>
          <w:r>
            <w:rPr>
              <w:rFonts w:ascii="Arial" w:hAnsi="Arial"/>
              <w:b/>
              <w:color w:val="002FA7"/>
              <w:sz w:val="18"/>
            </w:rPr>
            <w:t>Ψ  Anthony Moulin · Psychologue du travail</w:t>
          </w:r>
        </w:p>
      </w:tc>
      <w:tc>
        <w:tcPr>
          <w:tcW w:type="dxa" w:w="4819"/>
        </w:tcPr>
        <w:p>
          <w:pPr>
            <w:jc w:val="right"/>
          </w:pPr>
          <w:r/>
          <w:r>
            <w:rPr>
              <w:rFonts w:ascii="Arial" w:hAnsi="Arial"/>
              <w:b w:val="0"/>
              <w:color w:val="5A607A"/>
              <w:sz w:val="18"/>
            </w:rPr>
            <w:t>DUERP-RPS · Transports, logistique et commerce</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