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INDUSTRIE, MANUFACTURING ET AGROALIMENTAIRE</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industrie et agroalimentaire.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industrie et agroalimentaire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industrie et agroalimentaire,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industrie et agroalimentaire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industrie et agroalimentaire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industrie et agroalimentaire</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Les rythmes en 3x8 et la chronobiologie</w:t>
      </w:r>
    </w:p>
    <w:p>
      <w:pPr>
        <w:spacing w:after="120"/>
      </w:pPr>
      <w:r>
        <w:rPr>
          <w:rFonts w:ascii="Georgia" w:hAnsi="Georgia"/>
          <w:b w:val="0"/>
          <w:color w:val="1A1D2E"/>
          <w:sz w:val="22"/>
        </w:rPr>
        <w:t>Le travail poste en 3x8 ou en feu continu produit une perturbation chronobiologique dont les effets sur la sante (sommeil, alimentation, vie sociale, risque cardiovasculaire) sont aujourd'hui solidement etablis. Le DUERP-RPS doit le coter explicitement comme facteur d'intensite et engager des actions de prevention specifiques : sens de rotation antihoraire, regularite des plannings, equilibre des durees de poste.</w:t>
      </w:r>
    </w:p>
    <w:p>
      <w:pPr>
        <w:spacing w:before="200" w:after="80"/>
      </w:pPr>
      <w:r>
        <w:rPr>
          <w:rFonts w:ascii="Arial" w:hAnsi="Arial"/>
          <w:b/>
          <w:color w:val="3366CC"/>
          <w:sz w:val="22"/>
        </w:rPr>
        <w:t>La tension productivite-securite-qualite</w:t>
      </w:r>
    </w:p>
    <w:p>
      <w:pPr>
        <w:spacing w:after="120"/>
      </w:pPr>
      <w:r>
        <w:rPr>
          <w:rFonts w:ascii="Georgia" w:hAnsi="Georgia"/>
          <w:b w:val="0"/>
          <w:color w:val="1A1D2E"/>
          <w:sz w:val="22"/>
        </w:rPr>
        <w:t>Les conflits de valeurs dans l'industrie prennent souvent la forme d'un arbitrage permanent entre cadence imposee, exigences de securite et qualite produit. Cette tension est inscrite dans le pilotage par indicateurs et se durcit dans les contextes de sous-effectif ou de pression sur les couts. Le DUERP-RPS doit nommer ce risque et identifier les marges organisationnelles mobilisables.</w:t>
      </w:r>
    </w:p>
    <w:p>
      <w:pPr>
        <w:spacing w:before="200" w:after="80"/>
      </w:pPr>
      <w:r>
        <w:rPr>
          <w:rFonts w:ascii="Arial" w:hAnsi="Arial"/>
          <w:b/>
          <w:color w:val="3366CC"/>
          <w:sz w:val="22"/>
        </w:rPr>
        <w:t>Les mutations technologiques et l'usure</w:t>
      </w:r>
    </w:p>
    <w:p>
      <w:pPr>
        <w:spacing w:after="120"/>
      </w:pPr>
      <w:r>
        <w:rPr>
          <w:rFonts w:ascii="Georgia" w:hAnsi="Georgia"/>
          <w:b w:val="0"/>
          <w:color w:val="1A1D2E"/>
          <w:sz w:val="22"/>
        </w:rPr>
        <w:t>L'automatisation, la robotisation et le deploiement de l'intelligence artificielle modifient profondement les postes industriels. Cette transformation produit deux effets RPS distincts : une insecurite forte pour les operateurs dont les postes disparaissent ou se transforment, et une intensification cognitive pour ceux qui pilotent les outils nouveaux. La prevention primaire passe par l'association des operateurs a la conception des transformations.</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INRS - outils RPS-DU, ergonomie et fiches sectorielles</w:t>
      </w:r>
    </w:p>
    <w:p>
      <w:pPr>
        <w:spacing w:after="80"/>
      </w:pPr>
      <w:r>
        <w:rPr>
          <w:rFonts w:ascii="Georgia" w:hAnsi="Georgia"/>
          <w:color w:val="1A1D2E"/>
          <w:sz w:val="20"/>
        </w:rPr>
        <w:t>• OPCO 2i - dispositifs de formation industrie</w:t>
      </w:r>
    </w:p>
    <w:p>
      <w:pPr>
        <w:spacing w:after="80"/>
      </w:pPr>
      <w:r>
        <w:rPr>
          <w:rFonts w:ascii="Georgia" w:hAnsi="Georgia"/>
          <w:color w:val="1A1D2E"/>
          <w:sz w:val="20"/>
        </w:rPr>
        <w:t>• Carsat, branches professionnelles - aides financieres prevention</w:t>
      </w:r>
    </w:p>
    <w:p>
      <w:pPr>
        <w:spacing w:after="80"/>
      </w:pPr>
      <w:r>
        <w:rPr>
          <w:rFonts w:ascii="Georgia" w:hAnsi="Georgia"/>
          <w:color w:val="1A1D2E"/>
          <w:sz w:val="20"/>
        </w:rPr>
        <w:t>• ANACT - dossiers QVCT et industrie 4.0</w:t>
      </w:r>
    </w:p>
    <w:p>
      <w:pPr>
        <w:spacing w:after="80"/>
      </w:pPr>
      <w:r>
        <w:rPr>
          <w:rFonts w:ascii="Georgia" w:hAnsi="Georgia"/>
          <w:color w:val="1A1D2E"/>
          <w:sz w:val="20"/>
        </w:rPr>
        <w:t>• Branches professionnelles : UIMM, UIC, ANIA, FNB</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Industrie et agroalimentaire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