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002FA7"/>
          <w:sz w:val="56"/>
        </w:rPr>
        <w:t>Guide d'utilisation</w:t>
      </w:r>
    </w:p>
    <w:p>
      <w:pPr>
        <w:spacing w:after="160"/>
        <w:jc w:val="center"/>
      </w:pPr>
      <w:r>
        <w:rPr>
          <w:rFonts w:ascii="Arial" w:hAnsi="Arial"/>
          <w:b/>
          <w:color w:val="002FA7"/>
          <w:sz w:val="56"/>
        </w:rPr>
        <w:t>et de remplissage</w:t>
      </w:r>
    </w:p>
    <w:p>
      <w:pPr>
        <w:spacing w:after="600"/>
        <w:jc w:val="center"/>
      </w:pPr>
      <w:r>
        <w:rPr>
          <w:rFonts w:ascii="Arial" w:hAnsi="Arial"/>
          <w:b w:val="0"/>
          <w:color w:val="1A47B8"/>
          <w:sz w:val="32"/>
        </w:rPr>
        <w:t>du modele DUERP-RPS</w:t>
      </w:r>
    </w:p>
    <w:p>
      <w:pPr>
        <w:spacing w:after="800"/>
        <w:jc w:val="center"/>
      </w:pPr>
      <w:r>
        <w:rPr>
          <w:rFonts w:ascii="Arial" w:hAnsi="Arial"/>
          <w:b/>
          <w:color w:val="002FA7"/>
          <w:sz w:val="36"/>
        </w:rPr>
        <w:t>BANQUE, ASSURANCE, MUTUELLE ET SERVICES FINANCIERS</w:t>
      </w:r>
    </w:p>
    <w:p>
      <w:pPr>
        <w:shd w:val="clear" w:color="auto" w:fill="E8F0FA"/>
        <w:spacing w:before="400" w:after="400"/>
        <w:ind w:left="170" w:right="170"/>
      </w:pPr>
      <w:r>
        <w:rPr>
          <w:rFonts w:ascii="Georgia" w:hAnsi="Georgia"/>
          <w:color w:val="1A1D2E"/>
          <w:sz w:val="22"/>
        </w:rPr>
        <w:t>Ce guide accompagne l'utilisation du modele DUERP-RPS sectoriel. Il propose une lecture pas a pas du document, des consignes de remplissage, des exemples adaptes au secteur et des reperes methodologiques pour conduire une demarche participative robuste.</w:t>
      </w:r>
    </w:p>
    <w:p>
      <w:pPr>
        <w:spacing w:after="800"/>
      </w:pPr>
      <w:r>
        <w:rPr>
          <w:rFonts w:ascii="Georgia" w:hAnsi="Georgia"/>
          <w:b w:val="0"/>
          <w:color w:val="1A1D2E"/>
          <w:sz w:val="22"/>
        </w:rPr>
      </w:r>
    </w:p>
    <w:p>
      <w:pPr>
        <w:spacing w:after="40"/>
        <w:jc w:val="center"/>
      </w:pPr>
      <w:r>
        <w:rPr>
          <w:rFonts w:ascii="Arial" w:hAnsi="Arial"/>
          <w:b/>
          <w:color w:val="1A1D2E"/>
          <w:sz w:val="20"/>
        </w:rPr>
        <w:t>Auteur : 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Document gratuit, version 1.0 · mai 2026</w:t>
      </w:r>
    </w:p>
    <w:p>
      <w:r>
        <w:br w:type="page"/>
      </w:r>
    </w:p>
    <w:p>
      <w:pPr>
        <w:spacing w:before="360" w:after="200"/>
      </w:pPr>
      <w:r>
        <w:rPr>
          <w:rFonts w:ascii="Arial" w:hAnsi="Arial"/>
          <w:b/>
          <w:color w:val="002FA7"/>
          <w:sz w:val="36"/>
        </w:rPr>
        <w:t>Introduction</w:t>
      </w:r>
    </w:p>
    <w:p>
      <w:pPr>
        <w:spacing w:after="120"/>
      </w:pPr>
      <w:r>
        <w:rPr>
          <w:rFonts w:ascii="Georgia" w:hAnsi="Georgia"/>
          <w:b w:val="0"/>
          <w:color w:val="1A1D2E"/>
          <w:sz w:val="22"/>
        </w:rPr>
        <w:t>Le present guide accompagne l'utilisation du modele DUERP-RPS adapte au secteur banque, assurance et services financiers. Le modele se compose de deux documents complementaires : un fichier Word qui structure la trame du document unique et un fichier Excel qui permet la cotation des risques et le calcul automatique des niveaux d'exposition. Les deux supports doivent etre utilises ensemble : le Word formalise la demarche et les analyses qualitatives, l'Excel objective la hierarchisation des risques.</w:t>
      </w:r>
    </w:p>
    <w:p>
      <w:pPr>
        <w:spacing w:after="120"/>
      </w:pPr>
      <w:r>
        <w:rPr>
          <w:rFonts w:ascii="Georgia" w:hAnsi="Georgia"/>
          <w:b w:val="0"/>
          <w:color w:val="1A1D2E"/>
          <w:sz w:val="22"/>
        </w:rPr>
        <w:t>L'objectif de ce guide n'est pas de remplacer la methode, mais de la rendre praticable. Une demarche DUERP-RPS robuste ne se reduit pas a remplir des cases. Elle suppose un travail collectif d'analyse du travail reel, une mobilisation des representants du personnel et du service de prevention et de sante au travail, et une articulation explicite entre le diagnostic et les actions de prevention. Les sections qui suivent detaillent comment conduire ce travail dans les conditions reelles du secteur.</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Le DUERP-RPS n'est ni un audit externe ni une simple formalite administrative. Il constitue l'instrument central par lequel l'employeur formalise son evaluation des risques psychosociaux et engage la prevention. Sa qualite conditionne non seulement la conformite juridique mais aussi la portee reelle des actions engagees.</w:t>
      </w:r>
    </w:p>
    <w:p>
      <w:r>
        <w:br w:type="page"/>
      </w:r>
    </w:p>
    <w:p>
      <w:pPr>
        <w:spacing w:before="360" w:after="200"/>
      </w:pPr>
      <w:r>
        <w:rPr>
          <w:rFonts w:ascii="Arial" w:hAnsi="Arial"/>
          <w:b/>
          <w:color w:val="002FA7"/>
          <w:sz w:val="36"/>
        </w:rPr>
        <w:t>1. Pourquoi un DUERP-RPS adapte au secteur</w:t>
      </w:r>
    </w:p>
    <w:p>
      <w:pPr>
        <w:spacing w:before="280" w:after="120"/>
      </w:pPr>
      <w:r>
        <w:rPr>
          <w:rFonts w:ascii="Arial" w:hAnsi="Arial"/>
          <w:b/>
          <w:color w:val="1A47B8"/>
          <w:sz w:val="26"/>
        </w:rPr>
        <w:t>1.1. Les obligations de l'employeur</w:t>
      </w:r>
    </w:p>
    <w:p>
      <w:pPr>
        <w:spacing w:after="120"/>
      </w:pPr>
      <w:r>
        <w:rPr>
          <w:rFonts w:ascii="Georgia" w:hAnsi="Georgia"/>
          <w:b w:val="0"/>
          <w:color w:val="1A1D2E"/>
          <w:sz w:val="22"/>
        </w:rPr>
        <w:t>L'article L.4121-1 du Code du travail impose a tout employeur de prendre les mesures necessaires pour assurer la securite et proteger la sante physique et mentale des travailleurs. Cette obligation se decline dans le Document unique d'evaluation des risques professionnels, dont la creation a ete rendue obligatoire par le decret du 5 novembre 2001 et dont le contenu a ete substantiellement renforce par la loi du 2 aout 2021. Depuis cette loi, le DUERP doit etre conserve quarante ans et integre, pour les entreprises de cinquante salaries et plus, un programme annuel de prevention (PAPRiPACT).</w:t>
      </w:r>
    </w:p>
    <w:p>
      <w:pPr>
        <w:spacing w:after="120"/>
      </w:pPr>
      <w:r>
        <w:rPr>
          <w:rFonts w:ascii="Georgia" w:hAnsi="Georgia"/>
          <w:b w:val="0"/>
          <w:color w:val="1A1D2E"/>
          <w:sz w:val="22"/>
        </w:rPr>
        <w:t>Le secteur banque, assurance et services financiers est concerne au meme titre que les autres branches d'activite. Les references juridiques specifiques applicables sont rappelees en annexe du modele Word. Au-dela de l'obligation generale, le secteur presente des caracteristiques propres qui justifient un cadre adapte : la nature des expositions, les unites de travail typiques, les indicateurs disponibles et les ressources sectorielles mobilisables ne sont pas identiques d'une branche a l'autre.</w:t>
      </w:r>
    </w:p>
    <w:p>
      <w:pPr>
        <w:spacing w:before="280" w:after="120"/>
      </w:pPr>
      <w:r>
        <w:rPr>
          <w:rFonts w:ascii="Arial" w:hAnsi="Arial"/>
          <w:b/>
          <w:color w:val="1A47B8"/>
          <w:sz w:val="26"/>
        </w:rPr>
        <w:t>1.2. Les risques psychosociaux comme objet a part entiere</w:t>
      </w:r>
    </w:p>
    <w:p>
      <w:pPr>
        <w:spacing w:after="120"/>
      </w:pPr>
      <w:r>
        <w:rPr>
          <w:rFonts w:ascii="Georgia" w:hAnsi="Georgia"/>
          <w:b w:val="0"/>
          <w:color w:val="1A1D2E"/>
          <w:sz w:val="22"/>
        </w:rPr>
        <w:t>Le rapport Gollac et Bodier remis en 2011 au ministre du Travail constitue la reference operationnelle pour l'evaluation des RPS. Il propose une definition organisee en six familles de facteurs : l'intensite et le temps de travail, les exigences emotionnelles, les marges de manoeuvre et l'autonomie, les rapports sociaux et la reconnaissance, les conflits de valeurs et la qualite empechee, et l'insecurite de la situation de travail. C'est cette grille qui structure le modele propose.</w:t>
      </w:r>
    </w:p>
    <w:p>
      <w:pPr>
        <w:spacing w:after="120"/>
      </w:pPr>
      <w:r>
        <w:rPr>
          <w:rFonts w:ascii="Georgia" w:hAnsi="Georgia"/>
          <w:b w:val="0"/>
          <w:color w:val="1A1D2E"/>
          <w:sz w:val="22"/>
        </w:rPr>
        <w:t>Les RPS ne sont pas des risques individuels qui seraient lies a la fragilite supposee de certains salaries. Ils designent des situations de travail dont les caracteristiques organisationnelles, relationnelles et techniques produisent des effets sur la sante mentale et physique des personnes. Cette distinction est essentielle : elle deplace le diagnostic du registre individuel (qui souffre, pourquoi) au registre des conditions de travail (qu'est-ce qui, dans l'organisation, produit la souffrance).</w:t>
      </w:r>
    </w:p>
    <w:p>
      <w:pPr>
        <w:shd w:val="clear" w:color="auto" w:fill="E8F0FA"/>
        <w:spacing w:before="120" w:after="200"/>
        <w:ind w:left="170"/>
      </w:pPr>
      <w:r>
        <w:rPr>
          <w:rFonts w:ascii="Arial" w:hAnsi="Arial"/>
          <w:b/>
          <w:color w:val="002FA7"/>
          <w:sz w:val="20"/>
        </w:rPr>
        <w:t xml:space="preserve">Point de methode : </w:t>
      </w:r>
      <w:r>
        <w:rPr>
          <w:rFonts w:ascii="Georgia" w:hAnsi="Georgia"/>
          <w:color w:val="1A1D2E"/>
          <w:sz w:val="20"/>
        </w:rPr>
        <w:t>Confondre evaluation des RPS et reperage des salaries en difficulte est une erreur frequente. Le DUERP-RPS porte sur les situations de travail et non sur les personnes. Cette distinction conditionne la confidentialite des paroles individuelles recueillies et le respect du cadre deontologique.</w:t>
      </w:r>
    </w:p>
    <w:p>
      <w:r>
        <w:br w:type="page"/>
      </w:r>
    </w:p>
    <w:p>
      <w:pPr>
        <w:spacing w:before="360" w:after="200"/>
      </w:pPr>
      <w:r>
        <w:rPr>
          <w:rFonts w:ascii="Arial" w:hAnsi="Arial"/>
          <w:b/>
          <w:color w:val="002FA7"/>
          <w:sz w:val="36"/>
        </w:rPr>
        <w:t>2. Conduire la demarche : les sept etapes</w:t>
      </w:r>
    </w:p>
    <w:p>
      <w:pPr>
        <w:spacing w:after="120"/>
      </w:pPr>
      <w:r>
        <w:rPr>
          <w:rFonts w:ascii="Georgia" w:hAnsi="Georgia"/>
          <w:b w:val="0"/>
          <w:color w:val="1A1D2E"/>
          <w:sz w:val="22"/>
        </w:rPr>
        <w:t>Une demarche DUERP-RPS robuste s'organise en sept etapes que ce guide invite a suivre dans l'ordre. Chacune produit un livrable concret qui alimente l'etape suivante. Le respect de cette progression conditionne la qualite du document final et la portee preventive des actions qui en decoulent.</w:t>
      </w:r>
    </w:p>
    <w:p>
      <w:pPr>
        <w:spacing w:before="200" w:after="80"/>
      </w:pPr>
      <w:r>
        <w:rPr>
          <w:rFonts w:ascii="Arial" w:hAnsi="Arial"/>
          <w:b/>
          <w:color w:val="3366CC"/>
          <w:sz w:val="22"/>
        </w:rPr>
        <w:t>Etape 1 : Constituer le comite de pilotage</w:t>
      </w:r>
    </w:p>
    <w:p>
      <w:pPr>
        <w:spacing w:after="120"/>
      </w:pPr>
      <w:r>
        <w:rPr>
          <w:rFonts w:ascii="Georgia" w:hAnsi="Georgia"/>
          <w:b w:val="0"/>
          <w:color w:val="1A1D2E"/>
          <w:sz w:val="22"/>
        </w:rPr>
        <w:t>Le comite de pilotage reunit l'employeur ou son representant, les representants du personnel, le SPST et eventuellement un intervenant externe. Pour le secteur banque, assurance et services financiers, sa composition doit refleter la diversite des unites de travail : encadrants de proximite, agents de terrain, fonctions supports. Le comite definit le perimetre, le calendrier, les modalites de consultation et le budget eventuel.</w:t>
      </w:r>
    </w:p>
    <w:p>
      <w:pPr>
        <w:spacing w:after="200"/>
      </w:pPr>
      <w:r>
        <w:rPr>
          <w:rFonts w:ascii="Georgia" w:hAnsi="Georgia"/>
          <w:b w:val="0"/>
          <w:color w:val="5A607A"/>
          <w:sz w:val="20"/>
        </w:rPr>
        <w:t>Livrable : Charte de fonctionnement du COPIL signee.</w:t>
      </w:r>
    </w:p>
    <w:p>
      <w:pPr>
        <w:spacing w:before="200" w:after="80"/>
      </w:pPr>
      <w:r>
        <w:rPr>
          <w:rFonts w:ascii="Arial" w:hAnsi="Arial"/>
          <w:b/>
          <w:color w:val="3366CC"/>
          <w:sz w:val="22"/>
        </w:rPr>
        <w:t>Etape 2 : Cartographier les unites de travail</w:t>
      </w:r>
    </w:p>
    <w:p>
      <w:pPr>
        <w:spacing w:after="120"/>
      </w:pPr>
      <w:r>
        <w:rPr>
          <w:rFonts w:ascii="Georgia" w:hAnsi="Georgia"/>
          <w:b w:val="0"/>
          <w:color w:val="1A1D2E"/>
          <w:sz w:val="22"/>
        </w:rPr>
        <w:t>L'onglet '2. Cartographie UT' du modele Excel propose une liste de depart adaptee au secteur. Elle est a confronter a la realite de l'organisation : certaines unites n'existent pas, d'autres doivent etre creees. Pour les petites structures, des regroupements sont possibles a condition que les expositions soient comparables.</w:t>
      </w:r>
    </w:p>
    <w:p>
      <w:pPr>
        <w:spacing w:after="200"/>
      </w:pPr>
      <w:r>
        <w:rPr>
          <w:rFonts w:ascii="Georgia" w:hAnsi="Georgia"/>
          <w:b w:val="0"/>
          <w:color w:val="5A607A"/>
          <w:sz w:val="20"/>
        </w:rPr>
        <w:t>Livrable : Liste validee des unites de travail.</w:t>
      </w:r>
    </w:p>
    <w:p>
      <w:pPr>
        <w:spacing w:before="200" w:after="80"/>
      </w:pPr>
      <w:r>
        <w:rPr>
          <w:rFonts w:ascii="Arial" w:hAnsi="Arial"/>
          <w:b/>
          <w:color w:val="3366CC"/>
          <w:sz w:val="22"/>
        </w:rPr>
        <w:t>Etape 3 : Recueillir le materiau qualitatif</w:t>
      </w:r>
    </w:p>
    <w:p>
      <w:pPr>
        <w:spacing w:after="120"/>
      </w:pPr>
      <w:r>
        <w:rPr>
          <w:rFonts w:ascii="Georgia" w:hAnsi="Georgia"/>
          <w:b w:val="0"/>
          <w:color w:val="1A1D2E"/>
          <w:sz w:val="22"/>
        </w:rPr>
        <w:t>Le diagnostic ne peut se reduire a une cotation. Il s'appuie sur des entretiens individuels, des groupes de travail, des observations du travail reel et le cas echeant des questionnaires. La diversite des sources protege le diagnostic des biais : les chiffres seuls trompent autant que les seuls temoignages. Les anciens documents (rapports d'enquetes, indicateurs sociaux, comptes rendus de CSE-CSSCT) sont mobilises.</w:t>
      </w:r>
    </w:p>
    <w:p>
      <w:pPr>
        <w:spacing w:after="200"/>
      </w:pPr>
      <w:r>
        <w:rPr>
          <w:rFonts w:ascii="Georgia" w:hAnsi="Georgia"/>
          <w:b w:val="0"/>
          <w:color w:val="5A607A"/>
          <w:sz w:val="20"/>
        </w:rPr>
        <w:t>Livrable : Compte rendu des entretiens et observations.</w:t>
      </w:r>
    </w:p>
    <w:p>
      <w:pPr>
        <w:spacing w:before="200" w:after="80"/>
      </w:pPr>
      <w:r>
        <w:rPr>
          <w:rFonts w:ascii="Arial" w:hAnsi="Arial"/>
          <w:b/>
          <w:color w:val="3366CC"/>
          <w:sz w:val="22"/>
        </w:rPr>
        <w:t>Etape 4 : Coter et hierarchiser</w:t>
      </w:r>
    </w:p>
    <w:p>
      <w:pPr>
        <w:spacing w:after="120"/>
      </w:pPr>
      <w:r>
        <w:rPr>
          <w:rFonts w:ascii="Georgia" w:hAnsi="Georgia"/>
          <w:b w:val="0"/>
          <w:color w:val="1A1D2E"/>
          <w:sz w:val="22"/>
        </w:rPr>
        <w:t>L'onglet '3. Evaluation' du modele Excel structure la cotation. Pour chaque situation a risque identifiee, trois cotations (frequence, gravite, maitrise) entre 1 et 4 produisent un niveau de risque. La cellule se colore automatiquement selon le niveau atteint. La cotation se fait collectivement en COPIL apres restitution du materiau qualitatif.</w:t>
      </w:r>
    </w:p>
    <w:p>
      <w:pPr>
        <w:spacing w:after="200"/>
      </w:pPr>
      <w:r>
        <w:rPr>
          <w:rFonts w:ascii="Georgia" w:hAnsi="Georgia"/>
          <w:b w:val="0"/>
          <w:color w:val="5A607A"/>
          <w:sz w:val="20"/>
        </w:rPr>
        <w:t>Livrable : Tableau d'evaluation rempli.</w:t>
      </w:r>
    </w:p>
    <w:p>
      <w:pPr>
        <w:spacing w:before="200" w:after="80"/>
      </w:pPr>
      <w:r>
        <w:rPr>
          <w:rFonts w:ascii="Arial" w:hAnsi="Arial"/>
          <w:b/>
          <w:color w:val="3366CC"/>
          <w:sz w:val="22"/>
        </w:rPr>
        <w:t>Etape 5 : Synthetiser</w:t>
      </w:r>
    </w:p>
    <w:p>
      <w:pPr>
        <w:spacing w:after="120"/>
      </w:pPr>
      <w:r>
        <w:rPr>
          <w:rFonts w:ascii="Georgia" w:hAnsi="Georgia"/>
          <w:b w:val="0"/>
          <w:color w:val="1A1D2E"/>
          <w:sz w:val="22"/>
        </w:rPr>
        <w:t>L'onglet '4. Synthese' consolide les cotations par famille Gollac et fait apparaitre les expositions transversales. Cette synthese constitue la photographie globale a partager. Elle peut etre complementee par une cartographie des unites les plus exposees, secteur par secteur.</w:t>
      </w:r>
    </w:p>
    <w:p>
      <w:pPr>
        <w:spacing w:after="200"/>
      </w:pPr>
      <w:r>
        <w:rPr>
          <w:rFonts w:ascii="Georgia" w:hAnsi="Georgia"/>
          <w:b w:val="0"/>
          <w:color w:val="5A607A"/>
          <w:sz w:val="20"/>
        </w:rPr>
        <w:t>Livrable : Synthese remise au comite de pilotage.</w:t>
      </w:r>
    </w:p>
    <w:p>
      <w:pPr>
        <w:spacing w:before="200" w:after="80"/>
      </w:pPr>
      <w:r>
        <w:rPr>
          <w:rFonts w:ascii="Arial" w:hAnsi="Arial"/>
          <w:b/>
          <w:color w:val="3366CC"/>
          <w:sz w:val="22"/>
        </w:rPr>
        <w:t>Etape 6 : Construire le plan de prevention</w:t>
      </w:r>
    </w:p>
    <w:p>
      <w:pPr>
        <w:spacing w:after="120"/>
      </w:pPr>
      <w:r>
        <w:rPr>
          <w:rFonts w:ascii="Georgia" w:hAnsi="Georgia"/>
          <w:b w:val="0"/>
          <w:color w:val="1A1D2E"/>
          <w:sz w:val="22"/>
        </w:rPr>
        <w:t>Le plan s'organise sur trois niveaux : primaire (agir sur l'organisation), secondaire (renforcer les ressources), tertiaire (prendre en charge). L'onglet '5. Plan d'action' du modele Excel propose des actions adaptees au secteur. Chaque action recoit un pilote, une echeance, des moyens et un indicateur de suivi.</w:t>
      </w:r>
    </w:p>
    <w:p>
      <w:pPr>
        <w:spacing w:after="200"/>
      </w:pPr>
      <w:r>
        <w:rPr>
          <w:rFonts w:ascii="Georgia" w:hAnsi="Georgia"/>
          <w:b w:val="0"/>
          <w:color w:val="5A607A"/>
          <w:sz w:val="20"/>
        </w:rPr>
        <w:t>Livrable : Plan de prevention valide en CSE.</w:t>
      </w:r>
    </w:p>
    <w:p>
      <w:pPr>
        <w:spacing w:before="200" w:after="80"/>
      </w:pPr>
      <w:r>
        <w:rPr>
          <w:rFonts w:ascii="Arial" w:hAnsi="Arial"/>
          <w:b/>
          <w:color w:val="3366CC"/>
          <w:sz w:val="22"/>
        </w:rPr>
        <w:t>Etape 7 : Suivre et reviser</w:t>
      </w:r>
    </w:p>
    <w:p>
      <w:pPr>
        <w:spacing w:after="120"/>
      </w:pPr>
      <w:r>
        <w:rPr>
          <w:rFonts w:ascii="Georgia" w:hAnsi="Georgia"/>
          <w:b w:val="0"/>
          <w:color w:val="1A1D2E"/>
          <w:sz w:val="22"/>
        </w:rPr>
        <w:t>Le DUERP n'est pas un document a archiver. Il est revise au moins annuellement et a chaque modification importante des conditions de travail. Les indicateurs proposes a l'onglet '6. Indicateurs' permettent de tracer l'effet des actions. Une restitution annuelle aux equipes consolide l'appropriation collective.</w:t>
      </w:r>
    </w:p>
    <w:p>
      <w:pPr>
        <w:spacing w:after="200"/>
      </w:pPr>
      <w:r>
        <w:rPr>
          <w:rFonts w:ascii="Georgia" w:hAnsi="Georgia"/>
          <w:b w:val="0"/>
          <w:color w:val="5A607A"/>
          <w:sz w:val="20"/>
        </w:rPr>
        <w:t>Livrable : Bilan annuel et plan d'action revise.</w:t>
      </w:r>
    </w:p>
    <w:p>
      <w:pPr>
        <w:shd w:val="clear" w:color="auto" w:fill="E8F0FA"/>
        <w:spacing w:before="120" w:after="200"/>
        <w:ind w:left="170"/>
      </w:pPr>
      <w:r>
        <w:rPr>
          <w:rFonts w:ascii="Arial" w:hAnsi="Arial"/>
          <w:b/>
          <w:color w:val="002FA7"/>
          <w:sz w:val="20"/>
        </w:rPr>
        <w:t xml:space="preserve">Vigilance methode : </w:t>
      </w:r>
      <w:r>
        <w:rPr>
          <w:rFonts w:ascii="Georgia" w:hAnsi="Georgia"/>
          <w:color w:val="1A1D2E"/>
          <w:sz w:val="20"/>
        </w:rPr>
        <w:t>Les sept etapes sont indissociables. Vouloir aller directement a l'etape 4 (coter) sans avoir realise l'etape 3 (recueillir le materiau qualitatif) produit des cotations en apparence rigoureuses mais en realite arbitraires. Le diagnostic perd alors sa portee preventive et l'organisation s'expose a des actions inadaptees.</w:t>
      </w:r>
    </w:p>
    <w:p>
      <w:r>
        <w:br w:type="page"/>
      </w:r>
    </w:p>
    <w:p>
      <w:pPr>
        <w:spacing w:before="360" w:after="200"/>
      </w:pPr>
      <w:r>
        <w:rPr>
          <w:rFonts w:ascii="Arial" w:hAnsi="Arial"/>
          <w:b/>
          <w:color w:val="002FA7"/>
          <w:sz w:val="36"/>
        </w:rPr>
        <w:t>3. Remplir le modele Word : section par section</w:t>
      </w:r>
    </w:p>
    <w:p>
      <w:pPr>
        <w:spacing w:after="120"/>
      </w:pPr>
      <w:r>
        <w:rPr>
          <w:rFonts w:ascii="Georgia" w:hAnsi="Georgia"/>
          <w:b w:val="0"/>
          <w:color w:val="1A1D2E"/>
          <w:sz w:val="22"/>
        </w:rPr>
        <w:t>Le modele Word est la trame qui formalise l'ensemble de la demarche. Il s'organise en neuf sections que le guide reprend dans l'ordre. Chaque section appelle des contenus specifiques, des consignes de redaction et des points de vigilance.</w:t>
      </w:r>
    </w:p>
    <w:p>
      <w:pPr>
        <w:spacing w:before="280" w:after="120"/>
      </w:pPr>
      <w:r>
        <w:rPr>
          <w:rFonts w:ascii="Arial" w:hAnsi="Arial"/>
          <w:b/>
          <w:color w:val="1A47B8"/>
          <w:sz w:val="26"/>
        </w:rPr>
        <w:t>Section 1 : Cadre legal, methodologique et mode d'emploi</w:t>
      </w:r>
    </w:p>
    <w:p>
      <w:pPr>
        <w:spacing w:after="120"/>
      </w:pPr>
      <w:r>
        <w:rPr>
          <w:rFonts w:ascii="Georgia" w:hAnsi="Georgia"/>
          <w:b w:val="0"/>
          <w:color w:val="1A1D2E"/>
          <w:sz w:val="22"/>
        </w:rPr>
        <w:t>Cette section est principalement informative. Elle rappelle le cadre legal applicable, presente la methode retenue et explique le mode d'emploi du document. Elle peut etre conservee telle quelle ou adaptee selon les choix methodologiques de l'organisation (par exemple, si un outil specifique est mobilise en complement).</w:t>
      </w:r>
    </w:p>
    <w:p>
      <w:pPr>
        <w:spacing w:before="280" w:after="120"/>
      </w:pPr>
      <w:r>
        <w:rPr>
          <w:rFonts w:ascii="Arial" w:hAnsi="Arial"/>
          <w:b/>
          <w:color w:val="1A47B8"/>
          <w:sz w:val="26"/>
        </w:rPr>
        <w:t>Section 2 : Identification de l'organisation</w:t>
      </w:r>
    </w:p>
    <w:p>
      <w:pPr>
        <w:spacing w:after="120"/>
      </w:pPr>
      <w:r>
        <w:rPr>
          <w:rFonts w:ascii="Georgia" w:hAnsi="Georgia"/>
          <w:b w:val="0"/>
          <w:color w:val="1A1D2E"/>
          <w:sz w:val="22"/>
        </w:rPr>
        <w:t>Cette section porte les informations administratives de base. Renseigner integralement : raison sociale, adresse, effectif, convention collective applicable, services concernes par le perimetre. Indiquer egalement les acteurs de la demarche : responsable, membres du COPIL, representants du personnel associes, SPST mobilise. Cette identification engage la responsabilite de l'employeur et trace la consultation effective des instances.</w:t>
      </w:r>
    </w:p>
    <w:p>
      <w:pPr>
        <w:spacing w:before="280" w:after="120"/>
      </w:pPr>
      <w:r>
        <w:rPr>
          <w:rFonts w:ascii="Arial" w:hAnsi="Arial"/>
          <w:b/>
          <w:color w:val="1A47B8"/>
          <w:sz w:val="26"/>
        </w:rPr>
        <w:t>Section 3 : Cartographie des unites de travail</w:t>
      </w:r>
    </w:p>
    <w:p>
      <w:pPr>
        <w:spacing w:after="120"/>
      </w:pPr>
      <w:r>
        <w:rPr>
          <w:rFonts w:ascii="Georgia" w:hAnsi="Georgia"/>
          <w:b w:val="0"/>
          <w:color w:val="1A1D2E"/>
          <w:sz w:val="22"/>
        </w:rPr>
        <w:t>Reprendre la liste des unites de travail typiques du secteur (sept proposees dans le modele Excel). Confirmer, modifier, completer selon la realite de l'organisation. Renseigner pour chaque unite l'effectif concerne et l'encadrant referent. Une unite de travail regroupe des salaries dont les conditions d'exercice sont comparables ; elle ne coincide pas necessairement avec l'organigramme.</w:t>
      </w:r>
    </w:p>
    <w:p>
      <w:pPr>
        <w:spacing w:before="280" w:after="120"/>
      </w:pPr>
      <w:r>
        <w:rPr>
          <w:rFonts w:ascii="Arial" w:hAnsi="Arial"/>
          <w:b/>
          <w:color w:val="1A47B8"/>
          <w:sz w:val="26"/>
        </w:rPr>
        <w:t>Section 4 : Evaluation des risques par unite de travail</w:t>
      </w:r>
    </w:p>
    <w:p>
      <w:pPr>
        <w:spacing w:after="120"/>
      </w:pPr>
      <w:r>
        <w:rPr>
          <w:rFonts w:ascii="Georgia" w:hAnsi="Georgia"/>
          <w:b w:val="0"/>
          <w:color w:val="1A1D2E"/>
          <w:sz w:val="22"/>
        </w:rPr>
        <w:t>Cette section est le coeur du document. Pour chaque unite, six sous-tableaux examinent les six familles de facteurs. Les exemples de situations a risque proposes sont issus du secteur ; ils doivent etre confrontes au travail reel et completes par les situations specifiques a l'organisation. Les cotations sont reportees depuis le modele Excel (qui les calcule automatiquement). Les commentaires qualitatifs complementaires expliquent ce que les chiffres ne disent pas.</w:t>
      </w:r>
    </w:p>
    <w:p>
      <w:pPr>
        <w:spacing w:before="280" w:after="120"/>
      </w:pPr>
      <w:r>
        <w:rPr>
          <w:rFonts w:ascii="Arial" w:hAnsi="Arial"/>
          <w:b/>
          <w:color w:val="1A47B8"/>
          <w:sz w:val="26"/>
        </w:rPr>
        <w:t>Section 5 : Synthese par famille de facteurs de risques</w:t>
      </w:r>
    </w:p>
    <w:p>
      <w:pPr>
        <w:spacing w:after="120"/>
      </w:pPr>
      <w:r>
        <w:rPr>
          <w:rFonts w:ascii="Georgia" w:hAnsi="Georgia"/>
          <w:b w:val="0"/>
          <w:color w:val="1A1D2E"/>
          <w:sz w:val="22"/>
        </w:rPr>
        <w:t>La synthese consolide les evaluations a l'echelle de l'organisation. Elle fait apparaitre les familles de facteurs sur lesquelles agir prioritairement. Les valeurs proviennent du calcul automatique de l'onglet '4. Synthese' du modele Excel. La derniere colonne (priorite d'action) est argumentee : elle ne resulte pas seulement du niveau d'exposition, mais aussi du caractere irreversible des consequences possibles et de l'urgence percue par les representants du personnel.</w:t>
      </w:r>
    </w:p>
    <w:p>
      <w:pPr>
        <w:spacing w:before="280" w:after="120"/>
      </w:pPr>
      <w:r>
        <w:rPr>
          <w:rFonts w:ascii="Arial" w:hAnsi="Arial"/>
          <w:b/>
          <w:color w:val="1A47B8"/>
          <w:sz w:val="26"/>
        </w:rPr>
        <w:t>Section 6 : Plan de prevention</w:t>
      </w:r>
    </w:p>
    <w:p>
      <w:pPr>
        <w:spacing w:after="120"/>
      </w:pPr>
      <w:r>
        <w:rPr>
          <w:rFonts w:ascii="Georgia" w:hAnsi="Georgia"/>
          <w:b w:val="0"/>
          <w:color w:val="1A1D2E"/>
          <w:sz w:val="22"/>
        </w:rPr>
        <w:t>Le plan s'organise sur les trois niveaux de prevention. Les actions proposees dans le modele sont issues du secteur. Conserver, modifier ou supprimer selon la pertinence pour l'organisation. Pour chaque action retenue, renseigner le pilote, l'echeance, les moyens (humains, financiers, organisationnels), l'indicateur de suivi. La validation du plan par les representants du personnel conditionne sa legitimite.</w:t>
      </w:r>
    </w:p>
    <w:p>
      <w:pPr>
        <w:spacing w:before="280" w:after="120"/>
      </w:pPr>
      <w:r>
        <w:rPr>
          <w:rFonts w:ascii="Arial" w:hAnsi="Arial"/>
          <w:b/>
          <w:color w:val="1A47B8"/>
          <w:sz w:val="26"/>
        </w:rPr>
        <w:t>Section 7 : Indicateurs de suivi</w:t>
      </w:r>
    </w:p>
    <w:p>
      <w:pPr>
        <w:spacing w:after="120"/>
      </w:pPr>
      <w:r>
        <w:rPr>
          <w:rFonts w:ascii="Georgia" w:hAnsi="Georgia"/>
          <w:b w:val="0"/>
          <w:color w:val="1A1D2E"/>
          <w:sz w:val="22"/>
        </w:rPr>
        <w:t>Les indicateurs proposes sont specifiques au secteur. Compleler par les indicateurs deja disponibles dans l'organisation. Renseigner la valeur de reference au moment du diagnostic, la periodicite de releve souhaitee, la source du donnee et le responsable du releve. Le suivi annuel des indicateurs permet de detecter precocement les degradations.</w:t>
      </w:r>
    </w:p>
    <w:p>
      <w:pPr>
        <w:spacing w:before="280" w:after="120"/>
      </w:pPr>
      <w:r>
        <w:rPr>
          <w:rFonts w:ascii="Arial" w:hAnsi="Arial"/>
          <w:b/>
          <w:color w:val="1A47B8"/>
          <w:sz w:val="26"/>
        </w:rPr>
        <w:t>Section 8 : Modalites de revision et de communication</w:t>
      </w:r>
    </w:p>
    <w:p>
      <w:pPr>
        <w:spacing w:after="120"/>
      </w:pPr>
      <w:r>
        <w:rPr>
          <w:rFonts w:ascii="Georgia" w:hAnsi="Georgia"/>
          <w:b w:val="0"/>
          <w:color w:val="1A1D2E"/>
          <w:sz w:val="22"/>
        </w:rPr>
        <w:t>Definir le calendrier de revision (au moins annuel) et les evenements declencheurs d'une revision specifique. Definir aussi les modalites de communication aux salaries, aux representants et au SPST. La restitution orale aux equipes concernees, suivie d'un temps d'echange, conditionne l'appropriation collective.</w:t>
      </w:r>
    </w:p>
    <w:p>
      <w:pPr>
        <w:spacing w:before="280" w:after="120"/>
      </w:pPr>
      <w:r>
        <w:rPr>
          <w:rFonts w:ascii="Arial" w:hAnsi="Arial"/>
          <w:b/>
          <w:color w:val="1A47B8"/>
          <w:sz w:val="26"/>
        </w:rPr>
        <w:t>Section 9 : Annexes</w:t>
      </w:r>
    </w:p>
    <w:p>
      <w:pPr>
        <w:spacing w:after="120"/>
      </w:pPr>
      <w:r>
        <w:rPr>
          <w:rFonts w:ascii="Georgia" w:hAnsi="Georgia"/>
          <w:b w:val="0"/>
          <w:color w:val="1A1D2E"/>
          <w:sz w:val="22"/>
        </w:rPr>
        <w:t>Les references juridiques applicables au secteur banque, assurance et services financiers sont listees. Les ressources sectorielles mobilisables (organismes de prevention, branches professionnelles, OPCO) figurent egalement. Cette section peut etre enrichie par les coordonnees des acteurs internes (medecin du travail, referent harcelement, referent egalite professionnelle, infirmier ou psychologue du travail le cas echeant).</w:t>
      </w:r>
    </w:p>
    <w:p>
      <w:r>
        <w:br w:type="page"/>
      </w:r>
    </w:p>
    <w:p>
      <w:pPr>
        <w:spacing w:before="360" w:after="200"/>
      </w:pPr>
      <w:r>
        <w:rPr>
          <w:rFonts w:ascii="Arial" w:hAnsi="Arial"/>
          <w:b/>
          <w:color w:val="002FA7"/>
          <w:sz w:val="36"/>
        </w:rPr>
        <w:t>4. Remplir le modele Excel : onglet par onglet</w:t>
      </w:r>
    </w:p>
    <w:p>
      <w:pPr>
        <w:spacing w:after="120"/>
      </w:pPr>
      <w:r>
        <w:rPr>
          <w:rFonts w:ascii="Georgia" w:hAnsi="Georgia"/>
          <w:b w:val="0"/>
          <w:color w:val="1A1D2E"/>
          <w:sz w:val="22"/>
        </w:rPr>
        <w:t>Le modele Excel automatise les calculs de cotation et la visualisation des niveaux de risque. Six onglets se completent dans l'ordre. Le respect de cet ordre garantit la coherence des donnees et la fiabilite des calculs.</w:t>
      </w:r>
    </w:p>
    <w:p>
      <w:pPr>
        <w:spacing w:before="280" w:after="120"/>
      </w:pPr>
      <w:r>
        <w:rPr>
          <w:rFonts w:ascii="Arial" w:hAnsi="Arial"/>
          <w:b/>
          <w:color w:val="1A47B8"/>
          <w:sz w:val="26"/>
        </w:rPr>
        <w:t>Onglet 1 : Identification</w:t>
      </w:r>
    </w:p>
    <w:p>
      <w:pPr>
        <w:spacing w:after="120"/>
      </w:pPr>
      <w:r>
        <w:rPr>
          <w:rFonts w:ascii="Georgia" w:hAnsi="Georgia"/>
          <w:b w:val="0"/>
          <w:color w:val="1A1D2E"/>
          <w:sz w:val="22"/>
        </w:rPr>
        <w:t>Renseigner les memes informations que dans la section 2 du modele Word. Cette redondance est volontaire : elle garantit que chaque support peut etre lu independamment.</w:t>
      </w:r>
    </w:p>
    <w:p>
      <w:pPr>
        <w:spacing w:before="280" w:after="120"/>
      </w:pPr>
      <w:r>
        <w:rPr>
          <w:rFonts w:ascii="Arial" w:hAnsi="Arial"/>
          <w:b/>
          <w:color w:val="1A47B8"/>
          <w:sz w:val="26"/>
        </w:rPr>
        <w:t>Onglet 2 : Cartographie des unites de travail</w:t>
      </w:r>
    </w:p>
    <w:p>
      <w:pPr>
        <w:spacing w:after="120"/>
      </w:pPr>
      <w:r>
        <w:rPr>
          <w:rFonts w:ascii="Georgia" w:hAnsi="Georgia"/>
          <w:b w:val="0"/>
          <w:color w:val="1A1D2E"/>
          <w:sz w:val="22"/>
        </w:rPr>
        <w:t>Confirmer ou modifier la liste des unites de travail proposees. Ajouter l'effectif et l'encadrant referent. Toute unite ajoutee dans cet onglet doit l'etre aussi dans la section 3 du modele Word.</w:t>
      </w:r>
    </w:p>
    <w:p>
      <w:pPr>
        <w:spacing w:before="280" w:after="120"/>
      </w:pPr>
      <w:r>
        <w:rPr>
          <w:rFonts w:ascii="Arial" w:hAnsi="Arial"/>
          <w:b/>
          <w:color w:val="1A47B8"/>
          <w:sz w:val="26"/>
        </w:rPr>
        <w:t>Onglet 3 : Evaluation</w:t>
      </w:r>
    </w:p>
    <w:p>
      <w:pPr>
        <w:spacing w:after="120"/>
      </w:pPr>
      <w:r>
        <w:rPr>
          <w:rFonts w:ascii="Georgia" w:hAnsi="Georgia"/>
          <w:b w:val="0"/>
          <w:color w:val="1A1D2E"/>
          <w:sz w:val="22"/>
        </w:rPr>
        <w:t>C'est l'onglet le plus dense. Il presente pour chaque unite de travail les exemples de situations a risque relevant des six familles Gollac. Pour chaque ligne, renseigner :</w:t>
      </w:r>
    </w:p>
    <w:p>
      <w:pPr>
        <w:spacing w:after="120"/>
      </w:pPr>
      <w:r>
        <w:rPr>
          <w:rFonts w:ascii="Georgia" w:hAnsi="Georgia"/>
          <w:b w:val="0"/>
          <w:color w:val="1A1D2E"/>
          <w:sz w:val="20"/>
        </w:rPr>
        <w:t>Frequence (F) : 1 = rare, 2 = occasionnelle, 3 = frequente, 4 = permanente</w:t>
      </w:r>
    </w:p>
    <w:p>
      <w:pPr>
        <w:spacing w:after="120"/>
      </w:pPr>
      <w:r>
        <w:rPr>
          <w:rFonts w:ascii="Georgia" w:hAnsi="Georgia"/>
          <w:b w:val="0"/>
          <w:color w:val="1A1D2E"/>
          <w:sz w:val="20"/>
        </w:rPr>
        <w:t>Gravite (G) : 1 = faible, 2 = moderee, 3 = importante, 4 = tres grave</w:t>
      </w:r>
    </w:p>
    <w:p>
      <w:pPr>
        <w:spacing w:after="200"/>
      </w:pPr>
      <w:r>
        <w:rPr>
          <w:rFonts w:ascii="Georgia" w:hAnsi="Georgia"/>
          <w:b w:val="0"/>
          <w:color w:val="1A1D2E"/>
          <w:sz w:val="20"/>
        </w:rPr>
        <w:t>Maitrise (M) : 1 = tres satisfaisante, 2 = satisfaisante, 3 = a renforcer, 4 = absente</w:t>
      </w:r>
    </w:p>
    <w:p>
      <w:pPr>
        <w:spacing w:after="120"/>
      </w:pPr>
      <w:r>
        <w:rPr>
          <w:rFonts w:ascii="Georgia" w:hAnsi="Georgia"/>
          <w:b w:val="0"/>
          <w:color w:val="1A1D2E"/>
          <w:sz w:val="22"/>
        </w:rPr>
        <w:t>Le niveau de risque (F x G x M) se calcule automatiquement et la cellule se colore : vert pour les niveaux maitrises (1-8), jaune pour ceux a surveiller (9-24), orange pour ceux a traiter (25-48), rouge pour les priorites (49-64). La cotation se fait collectivement en COPIL, jamais individuellement par une seule personne. La controverse autour des cotations est souvent plus informative que la cotation elle-meme : elle revele des perceptions differentes du travail reel.</w:t>
      </w:r>
    </w:p>
    <w:p>
      <w:pPr>
        <w:shd w:val="clear" w:color="auto" w:fill="E8F0FA"/>
        <w:spacing w:before="120" w:after="200"/>
        <w:ind w:left="170"/>
      </w:pPr>
      <w:r>
        <w:rPr>
          <w:rFonts w:ascii="Arial" w:hAnsi="Arial"/>
          <w:b/>
          <w:color w:val="002FA7"/>
          <w:sz w:val="20"/>
        </w:rPr>
        <w:t xml:space="preserve">Methode : </w:t>
      </w:r>
      <w:r>
        <w:rPr>
          <w:rFonts w:ascii="Georgia" w:hAnsi="Georgia"/>
          <w:color w:val="1A1D2E"/>
          <w:sz w:val="20"/>
        </w:rPr>
        <w:t>L'echelle 1-4 (et non 1-5) est volontaire. Elle interdit la position neutre du milieu qui conduit a remplir par defaut. Chaque cotation oblige a se prononcer dans un sens ou dans l'autre, ce qui force la deliberation.</w:t>
      </w:r>
    </w:p>
    <w:p>
      <w:pPr>
        <w:spacing w:before="280" w:after="120"/>
      </w:pPr>
      <w:r>
        <w:rPr>
          <w:rFonts w:ascii="Arial" w:hAnsi="Arial"/>
          <w:b/>
          <w:color w:val="1A47B8"/>
          <w:sz w:val="26"/>
        </w:rPr>
        <w:t>Onglet 4 : Synthese</w:t>
      </w:r>
    </w:p>
    <w:p>
      <w:pPr>
        <w:spacing w:after="120"/>
      </w:pPr>
      <w:r>
        <w:rPr>
          <w:rFonts w:ascii="Georgia" w:hAnsi="Georgia"/>
          <w:b w:val="0"/>
          <w:color w:val="1A1D2E"/>
          <w:sz w:val="22"/>
        </w:rPr>
        <w:t>Cet onglet s'actualise automatiquement a partir de l'onglet Evaluation. Il fait apparaitre, pour chacune des six familles Gollac, le nombre de situations cotees, le niveau moyen et le niveau maximum. La derniere colonne (priorite d'action) est a renseigner manuellement par le COPIL apres deliberation.</w:t>
      </w:r>
    </w:p>
    <w:p>
      <w:pPr>
        <w:spacing w:before="280" w:after="120"/>
      </w:pPr>
      <w:r>
        <w:rPr>
          <w:rFonts w:ascii="Arial" w:hAnsi="Arial"/>
          <w:b/>
          <w:color w:val="1A47B8"/>
          <w:sz w:val="26"/>
        </w:rPr>
        <w:t>Onglet 5 : Plan d'action</w:t>
      </w:r>
    </w:p>
    <w:p>
      <w:pPr>
        <w:spacing w:after="120"/>
      </w:pPr>
      <w:r>
        <w:rPr>
          <w:rFonts w:ascii="Georgia" w:hAnsi="Georgia"/>
          <w:b w:val="0"/>
          <w:color w:val="1A1D2E"/>
          <w:sz w:val="22"/>
        </w:rPr>
        <w:t>Les actions proposees sont a conserver, modifier ou completer. Pour chaque action retenue, renseigner le pilote, l'echeance, les moyens et l'indicateur de suivi. Veiller a un equilibre entre les trois niveaux de prevention : un plan uniquement secondaire-tertiaire (formations et accompagnement) sans action primaire (organisation du travail) ne previent pas durablement les RPS.</w:t>
      </w:r>
    </w:p>
    <w:p>
      <w:pPr>
        <w:spacing w:before="280" w:after="120"/>
      </w:pPr>
      <w:r>
        <w:rPr>
          <w:rFonts w:ascii="Arial" w:hAnsi="Arial"/>
          <w:b/>
          <w:color w:val="1A47B8"/>
          <w:sz w:val="26"/>
        </w:rPr>
        <w:t>Onglet 6 : Indicateurs</w:t>
      </w:r>
    </w:p>
    <w:p>
      <w:pPr>
        <w:spacing w:after="120"/>
      </w:pPr>
      <w:r>
        <w:rPr>
          <w:rFonts w:ascii="Georgia" w:hAnsi="Georgia"/>
          <w:b w:val="0"/>
          <w:color w:val="1A1D2E"/>
          <w:sz w:val="22"/>
        </w:rPr>
        <w:t>Les indicateurs proposes sont specifiques au secteur. Renseigner la valeur de reference au moment du diagnostic ; elle servira de point de comparaison pour les annees suivantes. Programmer une revue trimestrielle ou semestrielle selon les indicateurs.</w:t>
      </w:r>
    </w:p>
    <w:p>
      <w:r>
        <w:br w:type="page"/>
      </w:r>
    </w:p>
    <w:p>
      <w:pPr>
        <w:spacing w:before="360" w:after="200"/>
      </w:pPr>
      <w:r>
        <w:rPr>
          <w:rFonts w:ascii="Arial" w:hAnsi="Arial"/>
          <w:b/>
          <w:color w:val="002FA7"/>
          <w:sz w:val="36"/>
        </w:rPr>
        <w:t>5. Animer la demarche participative</w:t>
      </w:r>
    </w:p>
    <w:p>
      <w:pPr>
        <w:spacing w:after="120"/>
      </w:pPr>
      <w:r>
        <w:rPr>
          <w:rFonts w:ascii="Georgia" w:hAnsi="Georgia"/>
          <w:b w:val="0"/>
          <w:color w:val="1A1D2E"/>
          <w:sz w:val="22"/>
        </w:rPr>
        <w:t>La qualite du DUERP-RPS depend autant de la methode que de la maniere dont la demarche est animee. Cinq points de vigilance meritent une attention particuliere.</w:t>
      </w:r>
    </w:p>
    <w:p>
      <w:pPr>
        <w:spacing w:before="200" w:after="80"/>
      </w:pPr>
      <w:r>
        <w:rPr>
          <w:rFonts w:ascii="Arial" w:hAnsi="Arial"/>
          <w:b/>
          <w:color w:val="3366CC"/>
          <w:sz w:val="22"/>
        </w:rPr>
        <w:t>Consulter les representants du personnel a chaque etape</w:t>
      </w:r>
    </w:p>
    <w:p>
      <w:pPr>
        <w:spacing w:after="120"/>
      </w:pPr>
      <w:r>
        <w:rPr>
          <w:rFonts w:ascii="Georgia" w:hAnsi="Georgia"/>
          <w:b w:val="0"/>
          <w:color w:val="1A1D2E"/>
          <w:sz w:val="22"/>
        </w:rPr>
        <w:t>La consultation du CSE et de la CSSCT n'est pas une formalite. Elle conditionne la legitimite du document. Les representants du personnel doivent etre associes au COPIL des l'etape 1, recevoir les materiaux qualitatifs avant la cotation, participer a la cotation elle-meme, valider le plan de prevention.</w:t>
      </w:r>
    </w:p>
    <w:p>
      <w:pPr>
        <w:spacing w:before="200" w:after="80"/>
      </w:pPr>
      <w:r>
        <w:rPr>
          <w:rFonts w:ascii="Arial" w:hAnsi="Arial"/>
          <w:b/>
          <w:color w:val="3366CC"/>
          <w:sz w:val="22"/>
        </w:rPr>
        <w:t>Garantir la confidentialite des paroles individuelles</w:t>
      </w:r>
    </w:p>
    <w:p>
      <w:pPr>
        <w:spacing w:after="120"/>
      </w:pPr>
      <w:r>
        <w:rPr>
          <w:rFonts w:ascii="Georgia" w:hAnsi="Georgia"/>
          <w:b w:val="0"/>
          <w:color w:val="1A1D2E"/>
          <w:sz w:val="22"/>
        </w:rPr>
        <w:t>Les entretiens et observations recueillent des informations qui peuvent etre tres sensibles, en particulier dans le secteur banque, assurance et services financiers ou les expositions emotionnelles sont elevees. La confidentialite est une condition de la liberation de la parole. Les comptes rendus consolides ne doivent jamais permettre l'identification des personnes. Le recours a un intervenant externe (psychologue du travail, IPRP) peut faciliter cette confidentialite.</w:t>
      </w:r>
    </w:p>
    <w:p>
      <w:pPr>
        <w:spacing w:before="200" w:after="80"/>
      </w:pPr>
      <w:r>
        <w:rPr>
          <w:rFonts w:ascii="Arial" w:hAnsi="Arial"/>
          <w:b/>
          <w:color w:val="3366CC"/>
          <w:sz w:val="22"/>
        </w:rPr>
        <w:t>Distinguer le travail prescrit du travail reel</w:t>
      </w:r>
    </w:p>
    <w:p>
      <w:pPr>
        <w:spacing w:after="120"/>
      </w:pPr>
      <w:r>
        <w:rPr>
          <w:rFonts w:ascii="Georgia" w:hAnsi="Georgia"/>
          <w:b w:val="0"/>
          <w:color w:val="1A1D2E"/>
          <w:sz w:val="22"/>
        </w:rPr>
        <w:t>Le travail tel qu'il est decrit dans les fiches de poste, les procedures et les organigrammes ne coincide pas avec ce que les salaries font reellement. L'analyse du travail reel suppose des observations sur poste, des discussions sur les ecarts entre le prescrit et le realise, des recits d'incidents. C'est dans ces ecarts que les facteurs de risque se logent souvent.</w:t>
      </w:r>
    </w:p>
    <w:p>
      <w:pPr>
        <w:spacing w:before="200" w:after="80"/>
      </w:pPr>
      <w:r>
        <w:rPr>
          <w:rFonts w:ascii="Arial" w:hAnsi="Arial"/>
          <w:b/>
          <w:color w:val="3366CC"/>
          <w:sz w:val="22"/>
        </w:rPr>
        <w:t>Eviter la psychologisation des situations</w:t>
      </w:r>
    </w:p>
    <w:p>
      <w:pPr>
        <w:spacing w:after="120"/>
      </w:pPr>
      <w:r>
        <w:rPr>
          <w:rFonts w:ascii="Georgia" w:hAnsi="Georgia"/>
          <w:b w:val="0"/>
          <w:color w:val="1A1D2E"/>
          <w:sz w:val="22"/>
        </w:rPr>
        <w:t>La tentation est forte, face a une expression de souffrance, de la rabattre sur l'individu (fragilite, vulnerabilite, histoire personnelle). Cette psychologisation depossede la demarche de sa portee preventive. Le DUERP-RPS porte sur les conditions de travail et non sur les personnes : c'est ce deplacement qui fonde la prevention primaire.</w:t>
      </w:r>
    </w:p>
    <w:p>
      <w:pPr>
        <w:spacing w:before="200" w:after="80"/>
      </w:pPr>
      <w:r>
        <w:rPr>
          <w:rFonts w:ascii="Arial" w:hAnsi="Arial"/>
          <w:b/>
          <w:color w:val="3366CC"/>
          <w:sz w:val="22"/>
        </w:rPr>
        <w:t>Restituer aux equipes et boucler la demarche</w:t>
      </w:r>
    </w:p>
    <w:p>
      <w:pPr>
        <w:spacing w:after="120"/>
      </w:pPr>
      <w:r>
        <w:rPr>
          <w:rFonts w:ascii="Georgia" w:hAnsi="Georgia"/>
          <w:b w:val="0"/>
          <w:color w:val="1A1D2E"/>
          <w:sz w:val="22"/>
        </w:rPr>
        <w:t>Trop de DUERP-RPS achevent leur cycle au moment de la validation par la direction. La restitution orale aux equipes concernees, suivie d'un temps d'echange, ferme la boucle et engage l'appropriation collective. Sans cette restitution, la demarche peut etre percue comme un audit a charge ou comme un exercice cosmetique.</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Une demarche bien conduite renforce la legitimite de l'employeur et la qualite du dialogue social. Une demarche bacle ou descendante produit l'effet inverse : elle alimente le cynisme et fragilise la prevention.</w:t>
      </w:r>
    </w:p>
    <w:p>
      <w:r>
        <w:br w:type="page"/>
      </w:r>
    </w:p>
    <w:p>
      <w:pPr>
        <w:spacing w:before="360" w:after="200"/>
      </w:pPr>
      <w:r>
        <w:rPr>
          <w:rFonts w:ascii="Arial" w:hAnsi="Arial"/>
          <w:b/>
          <w:color w:val="002FA7"/>
          <w:sz w:val="36"/>
        </w:rPr>
        <w:t>6. Specificites du secteur banque, assurance et services financiers</w:t>
      </w:r>
    </w:p>
    <w:p>
      <w:pPr>
        <w:spacing w:after="120"/>
      </w:pPr>
      <w:r>
        <w:rPr>
          <w:rFonts w:ascii="Georgia" w:hAnsi="Georgia"/>
          <w:b w:val="0"/>
          <w:color w:val="1A1D2E"/>
          <w:sz w:val="22"/>
        </w:rPr>
        <w:t>Au-dela des principes generaux, le secteur presente des realites particulieres qui meritent une attention specifique dans la conduite de la demarche.</w:t>
      </w:r>
    </w:p>
    <w:p>
      <w:pPr>
        <w:spacing w:before="200" w:after="80"/>
      </w:pPr>
      <w:r>
        <w:rPr>
          <w:rFonts w:ascii="Arial" w:hAnsi="Arial"/>
          <w:b/>
          <w:color w:val="3366CC"/>
          <w:sz w:val="22"/>
        </w:rPr>
        <w:t>La pression commerciale et le devoir de conseil</w:t>
      </w:r>
    </w:p>
    <w:p>
      <w:pPr>
        <w:spacing w:after="120"/>
      </w:pPr>
      <w:r>
        <w:rPr>
          <w:rFonts w:ascii="Georgia" w:hAnsi="Georgia"/>
          <w:b w:val="0"/>
          <w:color w:val="1A1D2E"/>
          <w:sz w:val="22"/>
        </w:rPr>
        <w:t>La tension entre objectifs commerciaux mensuels et devoir de conseil constitue dans le secteur un conflit de valeurs structurel. Le sentiment de vendre des produits inadaptes pour atteindre les objectifs est un puissant facteur de souffrance. Le DUERP-RPS doit nommer explicitement cette tension et examiner la conception des systemes de remuneration variable et de classement individuel.</w:t>
      </w:r>
    </w:p>
    <w:p>
      <w:pPr>
        <w:spacing w:before="200" w:after="80"/>
      </w:pPr>
      <w:r>
        <w:rPr>
          <w:rFonts w:ascii="Arial" w:hAnsi="Arial"/>
          <w:b/>
          <w:color w:val="3366CC"/>
          <w:sz w:val="22"/>
        </w:rPr>
        <w:t>Les incivilites et agressions en agence</w:t>
      </w:r>
    </w:p>
    <w:p>
      <w:pPr>
        <w:spacing w:after="120"/>
      </w:pPr>
      <w:r>
        <w:rPr>
          <w:rFonts w:ascii="Georgia" w:hAnsi="Georgia"/>
          <w:b w:val="0"/>
          <w:color w:val="1A1D2E"/>
          <w:sz w:val="22"/>
        </w:rPr>
        <w:t>Les conseillers et charges d'accueil sont exposes a des incivilites et agressions clients (refus de credit, hausses tarifaires, sinistres contestes). La banalisation de ces evenements (on en voit tous les jours) ne signifie pas leur innocuite. Le DUERP-RPS doit prevoir une procedure simple de declaration, une analyse partagee et un dispositif d'accompagnement systematique apres agression caracterisee.</w:t>
      </w:r>
    </w:p>
    <w:p>
      <w:pPr>
        <w:spacing w:before="200" w:after="80"/>
      </w:pPr>
      <w:r>
        <w:rPr>
          <w:rFonts w:ascii="Arial" w:hAnsi="Arial"/>
          <w:b/>
          <w:color w:val="3366CC"/>
          <w:sz w:val="22"/>
        </w:rPr>
        <w:t>Les restructurations et la digitalisation</w:t>
      </w:r>
    </w:p>
    <w:p>
      <w:pPr>
        <w:spacing w:after="120"/>
      </w:pPr>
      <w:r>
        <w:rPr>
          <w:rFonts w:ascii="Georgia" w:hAnsi="Georgia"/>
          <w:b w:val="0"/>
          <w:color w:val="1A1D2E"/>
          <w:sz w:val="22"/>
        </w:rPr>
        <w:t>Les fermetures d'agences, fusions et plans sociaux constituent une realite chronique du secteur. A cela s'ajoute la digitalisation qui modifie profondement les metiers historiques. Le DUERP-RPS doit prendre au serieux l'insecurite produite par ces transformations et engager une prevention primaire qui associe les representants du personnel a la conduite du changement.</w:t>
      </w:r>
    </w:p>
    <w:p>
      <w:r>
        <w:br w:type="page"/>
      </w:r>
    </w:p>
    <w:p>
      <w:pPr>
        <w:spacing w:before="360" w:after="200"/>
      </w:pPr>
      <w:r>
        <w:rPr>
          <w:rFonts w:ascii="Arial" w:hAnsi="Arial"/>
          <w:b/>
          <w:color w:val="002FA7"/>
          <w:sz w:val="36"/>
        </w:rPr>
        <w:t>7. Checklist de finalisation</w:t>
      </w:r>
    </w:p>
    <w:p>
      <w:pPr>
        <w:spacing w:after="120"/>
      </w:pPr>
      <w:r>
        <w:rPr>
          <w:rFonts w:ascii="Georgia" w:hAnsi="Georgia"/>
          <w:b w:val="0"/>
          <w:color w:val="1A1D2E"/>
          <w:sz w:val="22"/>
        </w:rPr>
        <w:t>Avant de considerer le DUERP-RPS comme finalise, verifier que les points suivants sont effectivement traites. Tout point non coche signale une fragilite a traiter avant validation.</w:t>
      </w:r>
    </w:p>
    <w:p>
      <w:pPr>
        <w:spacing w:after="80"/>
      </w:pPr>
      <w:r>
        <w:rPr>
          <w:rFonts w:ascii="Georgia" w:hAnsi="Georgia"/>
          <w:color w:val="1A1D2E"/>
          <w:sz w:val="20"/>
        </w:rPr>
        <w:t>☐  Le perimetre couvert inclut tous les sites, agents en deplacement, teletravailleurs, contrats courts et interimaires.</w:t>
      </w:r>
    </w:p>
    <w:p>
      <w:pPr>
        <w:spacing w:after="80"/>
      </w:pPr>
      <w:r>
        <w:rPr>
          <w:rFonts w:ascii="Georgia" w:hAnsi="Georgia"/>
          <w:color w:val="1A1D2E"/>
          <w:sz w:val="20"/>
        </w:rPr>
        <w:t>☐  Les representants du personnel ont ete associes aux differentes etapes (COPIL, restitution du materiau qualitatif, cotation, validation du plan).</w:t>
      </w:r>
    </w:p>
    <w:p>
      <w:pPr>
        <w:spacing w:after="80"/>
      </w:pPr>
      <w:r>
        <w:rPr>
          <w:rFonts w:ascii="Georgia" w:hAnsi="Georgia"/>
          <w:color w:val="1A1D2E"/>
          <w:sz w:val="20"/>
        </w:rPr>
        <w:t>☐  Le SPST a ete mobilise et son avis figure au dossier.</w:t>
      </w:r>
    </w:p>
    <w:p>
      <w:pPr>
        <w:spacing w:after="80"/>
      </w:pPr>
      <w:r>
        <w:rPr>
          <w:rFonts w:ascii="Georgia" w:hAnsi="Georgia"/>
          <w:color w:val="1A1D2E"/>
          <w:sz w:val="20"/>
        </w:rPr>
        <w:t>☐  Le materiau qualitatif (entretiens, observations, groupes de travail) est trace, anonymise et conserve dans des conditions de confidentialite garanties.</w:t>
      </w:r>
    </w:p>
    <w:p>
      <w:pPr>
        <w:spacing w:after="80"/>
      </w:pPr>
      <w:r>
        <w:rPr>
          <w:rFonts w:ascii="Georgia" w:hAnsi="Georgia"/>
          <w:color w:val="1A1D2E"/>
          <w:sz w:val="20"/>
        </w:rPr>
        <w:t>☐  La cotation a fait l'objet d'une deliberation collective et non d'une appreciation individuelle.</w:t>
      </w:r>
    </w:p>
    <w:p>
      <w:pPr>
        <w:spacing w:after="80"/>
      </w:pPr>
      <w:r>
        <w:rPr>
          <w:rFonts w:ascii="Georgia" w:hAnsi="Georgia"/>
          <w:color w:val="1A1D2E"/>
          <w:sz w:val="20"/>
        </w:rPr>
        <w:t>☐  Les six familles Gollac sont evaluees pour chaque unite de travail.</w:t>
      </w:r>
    </w:p>
    <w:p>
      <w:pPr>
        <w:spacing w:after="80"/>
      </w:pPr>
      <w:r>
        <w:rPr>
          <w:rFonts w:ascii="Georgia" w:hAnsi="Georgia"/>
          <w:color w:val="1A1D2E"/>
          <w:sz w:val="20"/>
        </w:rPr>
        <w:t>☐  Le plan de prevention comporte des actions sur les trois niveaux (primaire, secondaire, tertiaire) avec un equilibre lisible.</w:t>
      </w:r>
    </w:p>
    <w:p>
      <w:pPr>
        <w:spacing w:after="80"/>
      </w:pPr>
      <w:r>
        <w:rPr>
          <w:rFonts w:ascii="Georgia" w:hAnsi="Georgia"/>
          <w:color w:val="1A1D2E"/>
          <w:sz w:val="20"/>
        </w:rPr>
        <w:t>☐  Chaque action retient un pilote, une echeance, des moyens et un indicateur de suivi.</w:t>
      </w:r>
    </w:p>
    <w:p>
      <w:pPr>
        <w:spacing w:after="80"/>
      </w:pPr>
      <w:r>
        <w:rPr>
          <w:rFonts w:ascii="Georgia" w:hAnsi="Georgia"/>
          <w:color w:val="1A1D2E"/>
          <w:sz w:val="20"/>
        </w:rPr>
        <w:t>☐  Le PAPRiPACT a ete construit a partir du plan, pour les organisations de 50 salaries et plus.</w:t>
      </w:r>
    </w:p>
    <w:p>
      <w:pPr>
        <w:spacing w:after="80"/>
      </w:pPr>
      <w:r>
        <w:rPr>
          <w:rFonts w:ascii="Georgia" w:hAnsi="Georgia"/>
          <w:color w:val="1A1D2E"/>
          <w:sz w:val="20"/>
        </w:rPr>
        <w:t>☐  Les indicateurs de suivi ont une valeur de reference et une periodicite de releve definies.</w:t>
      </w:r>
    </w:p>
    <w:p>
      <w:pPr>
        <w:spacing w:after="80"/>
      </w:pPr>
      <w:r>
        <w:rPr>
          <w:rFonts w:ascii="Georgia" w:hAnsi="Georgia"/>
          <w:color w:val="1A1D2E"/>
          <w:sz w:val="20"/>
        </w:rPr>
        <w:t>☐  Le calendrier de revision est defini et inscrit dans l'agenda annuel.</w:t>
      </w:r>
    </w:p>
    <w:p>
      <w:pPr>
        <w:spacing w:after="80"/>
      </w:pPr>
      <w:r>
        <w:rPr>
          <w:rFonts w:ascii="Georgia" w:hAnsi="Georgia"/>
          <w:color w:val="1A1D2E"/>
          <w:sz w:val="20"/>
        </w:rPr>
        <w:t>☐  La restitution aux equipes est planifiee et formalisee (date, format, animateur).</w:t>
      </w:r>
    </w:p>
    <w:p>
      <w:pPr>
        <w:spacing w:after="80"/>
      </w:pPr>
      <w:r>
        <w:rPr>
          <w:rFonts w:ascii="Georgia" w:hAnsi="Georgia"/>
          <w:color w:val="1A1D2E"/>
          <w:sz w:val="20"/>
        </w:rPr>
        <w:t>☐  Le DUERP est accessible aux salaries, aux representants, au SPST et a l'inspection du travail.</w:t>
      </w:r>
    </w:p>
    <w:p>
      <w:pPr>
        <w:spacing w:after="80"/>
      </w:pPr>
      <w:r>
        <w:rPr>
          <w:rFonts w:ascii="Georgia" w:hAnsi="Georgia"/>
          <w:color w:val="1A1D2E"/>
          <w:sz w:val="20"/>
        </w:rPr>
        <w:t>☐  Le document est date, signe par l'employeur et conserve dans des conditions garantissant sa conservation quarante ans.</w:t>
      </w:r>
    </w:p>
    <w:p>
      <w:pPr>
        <w:shd w:val="clear" w:color="auto" w:fill="E8F0FA"/>
        <w:spacing w:before="120" w:after="200"/>
        <w:ind w:left="170"/>
      </w:pPr>
      <w:r>
        <w:rPr>
          <w:rFonts w:ascii="Arial" w:hAnsi="Arial"/>
          <w:b/>
          <w:color w:val="002FA7"/>
          <w:sz w:val="20"/>
        </w:rPr>
        <w:t xml:space="preserve">A retenir : </w:t>
      </w:r>
      <w:r>
        <w:rPr>
          <w:rFonts w:ascii="Georgia" w:hAnsi="Georgia"/>
          <w:color w:val="1A1D2E"/>
          <w:sz w:val="20"/>
        </w:rPr>
        <w:t>Cette checklist n'est pas un controle formel : elle vise a securiser la portee preventive du document. Un DUERP-RPS qui coche toutes les cases sans avoir effectivement engage la demarche participative reste un document fragile.</w:t>
      </w:r>
    </w:p>
    <w:p>
      <w:r>
        <w:br w:type="page"/>
      </w:r>
    </w:p>
    <w:p>
      <w:pPr>
        <w:spacing w:before="360" w:after="200"/>
      </w:pPr>
      <w:r>
        <w:rPr>
          <w:rFonts w:ascii="Arial" w:hAnsi="Arial"/>
          <w:b/>
          <w:color w:val="002FA7"/>
          <w:sz w:val="36"/>
        </w:rPr>
        <w:t>8. Pour aller plus loin</w:t>
      </w:r>
    </w:p>
    <w:p>
      <w:pPr>
        <w:spacing w:before="280" w:after="120"/>
      </w:pPr>
      <w:r>
        <w:rPr>
          <w:rFonts w:ascii="Arial" w:hAnsi="Arial"/>
          <w:b/>
          <w:color w:val="1A47B8"/>
          <w:sz w:val="26"/>
        </w:rPr>
        <w:t>8.1. L'ouvrage de reference</w:t>
      </w:r>
    </w:p>
    <w:p>
      <w:pPr>
        <w:spacing w:after="120"/>
      </w:pPr>
      <w:r>
        <w:rPr>
          <w:rFonts w:ascii="Georgia" w:hAnsi="Georgia"/>
          <w:b w:val="0"/>
          <w:color w:val="1A1D2E"/>
          <w:sz w:val="22"/>
        </w:rPr>
        <w:t>Le present modele est complemente par l'ouvrage 'DUERP-RPS en pratique. Un guide pour integrer les risques psychosociaux dans le Document unique d'evaluation des risques professionnels', disponible sur psychologiedutravail.org/duerp-rps-en-pratique. L'ouvrage detaille en quatorze chapitres l'ensemble de la methode, propose une banque de cas composites et un kit complet d'outils mobilisables.</w:t>
      </w:r>
    </w:p>
    <w:p>
      <w:pPr>
        <w:spacing w:before="280" w:after="120"/>
      </w:pPr>
      <w:r>
        <w:rPr>
          <w:rFonts w:ascii="Arial" w:hAnsi="Arial"/>
          <w:b/>
          <w:color w:val="1A47B8"/>
          <w:sz w:val="26"/>
        </w:rPr>
        <w:t>8.2. Le kit d'outils complementaires</w:t>
      </w:r>
    </w:p>
    <w:p>
      <w:pPr>
        <w:spacing w:after="120"/>
      </w:pPr>
      <w:r>
        <w:rPr>
          <w:rFonts w:ascii="Georgia" w:hAnsi="Georgia"/>
          <w:b w:val="0"/>
          <w:color w:val="1A1D2E"/>
          <w:sz w:val="22"/>
        </w:rPr>
        <w:t>Plusieurs outils complementaires sont disponibles en telechargement libre : grille de reperage des six familles Gollac, guide d'entretien semi-directif, tableau de bord des indicateurs RPS, trame de fiche-action pour le plan de prevention, charte de fonctionnement du comite de pilotage avec matrice RACI. Tous sont accessibles sur psychologiedutravail.org/duerp-rps-en-pratique.</w:t>
      </w:r>
    </w:p>
    <w:p>
      <w:pPr>
        <w:spacing w:before="280" w:after="120"/>
      </w:pPr>
      <w:r>
        <w:rPr>
          <w:rFonts w:ascii="Arial" w:hAnsi="Arial"/>
          <w:b/>
          <w:color w:val="1A47B8"/>
          <w:sz w:val="26"/>
        </w:rPr>
        <w:t>8.3. Les ressources sectorielles</w:t>
      </w:r>
    </w:p>
    <w:p>
      <w:pPr>
        <w:spacing w:after="120"/>
      </w:pPr>
      <w:r>
        <w:rPr>
          <w:rFonts w:ascii="Georgia" w:hAnsi="Georgia"/>
          <w:b w:val="0"/>
          <w:color w:val="1A1D2E"/>
          <w:sz w:val="22"/>
        </w:rPr>
        <w:t>Les organismes suivants proposent des ressources et accompagnements adaptes au secteur :</w:t>
      </w:r>
    </w:p>
    <w:p>
      <w:pPr>
        <w:spacing w:after="80"/>
      </w:pPr>
      <w:r>
        <w:rPr>
          <w:rFonts w:ascii="Georgia" w:hAnsi="Georgia"/>
          <w:color w:val="1A1D2E"/>
          <w:sz w:val="20"/>
        </w:rPr>
        <w:t>• Observatoire des metiers de la banque - etudes sectorielles</w:t>
      </w:r>
    </w:p>
    <w:p>
      <w:pPr>
        <w:spacing w:after="80"/>
      </w:pPr>
      <w:r>
        <w:rPr>
          <w:rFonts w:ascii="Georgia" w:hAnsi="Georgia"/>
          <w:color w:val="1A1D2E"/>
          <w:sz w:val="20"/>
        </w:rPr>
        <w:t>• AFB, FFA, FNMF - guides employeurs</w:t>
      </w:r>
    </w:p>
    <w:p>
      <w:pPr>
        <w:spacing w:after="80"/>
      </w:pPr>
      <w:r>
        <w:rPr>
          <w:rFonts w:ascii="Georgia" w:hAnsi="Georgia"/>
          <w:color w:val="1A1D2E"/>
          <w:sz w:val="20"/>
        </w:rPr>
        <w:t>• OPCO Atlas (banque-assurance) - dispositifs de formation</w:t>
      </w:r>
    </w:p>
    <w:p>
      <w:pPr>
        <w:spacing w:after="80"/>
      </w:pPr>
      <w:r>
        <w:rPr>
          <w:rFonts w:ascii="Georgia" w:hAnsi="Georgia"/>
          <w:color w:val="1A1D2E"/>
          <w:sz w:val="20"/>
        </w:rPr>
        <w:t>• ANACT - dossiers QVCT services financiers</w:t>
      </w:r>
    </w:p>
    <w:p>
      <w:pPr>
        <w:spacing w:after="80"/>
      </w:pPr>
      <w:r>
        <w:rPr>
          <w:rFonts w:ascii="Georgia" w:hAnsi="Georgia"/>
          <w:color w:val="1A1D2E"/>
          <w:sz w:val="20"/>
        </w:rPr>
        <w:t>• Carsat - aides prevention pour les ETI bancaires</w:t>
      </w:r>
    </w:p>
    <w:p>
      <w:pPr>
        <w:spacing w:before="280" w:after="120"/>
      </w:pPr>
      <w:r>
        <w:rPr>
          <w:rFonts w:ascii="Arial" w:hAnsi="Arial"/>
          <w:b/>
          <w:color w:val="1A47B8"/>
          <w:sz w:val="26"/>
        </w:rPr>
        <w:t>8.4. Contact et echanges</w:t>
      </w:r>
    </w:p>
    <w:p>
      <w:pPr>
        <w:spacing w:after="120"/>
      </w:pPr>
      <w:r>
        <w:rPr>
          <w:rFonts w:ascii="Georgia" w:hAnsi="Georgia"/>
          <w:b w:val="0"/>
          <w:color w:val="1A1D2E"/>
          <w:sz w:val="22"/>
        </w:rPr>
        <w:t>Pour toute question relative a l'utilisation de ce modele ou pour echanger sur des situations specifiques, le site psychologiedutravail.org propose plusieurs ressources et un espace de contact. Les retours d'experience des utilisateurs alimentent les revisions ulterieures du modele.</w:t>
      </w:r>
    </w:p>
    <w:p>
      <w:pPr>
        <w:shd w:val="clear" w:color="auto" w:fill="E8F0FA"/>
        <w:spacing w:before="120" w:after="200"/>
        <w:ind w:left="170"/>
      </w:pPr>
      <w:r>
        <w:rPr>
          <w:rFonts w:ascii="Arial" w:hAnsi="Arial"/>
          <w:b/>
          <w:color w:val="002FA7"/>
          <w:sz w:val="20"/>
        </w:rPr>
        <w:t xml:space="preserve">Mot de l'auteur : </w:t>
      </w:r>
      <w:r>
        <w:rPr>
          <w:rFonts w:ascii="Georgia" w:hAnsi="Georgia"/>
          <w:color w:val="1A1D2E"/>
          <w:sz w:val="20"/>
        </w:rPr>
        <w:t>Ce modele est un point de depart, pas un point d'arrivee. Sa valeur tient a son appropriation par les acteurs internes de l'organisation. La meilleure version du DUERP-RPS est celle que vous aurez retravaillee avec vos equipes.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Modele DUERP-RPS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ayout w:type="autofit"/>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DUERP-RPS · Guide · Banque, assurance et services financiers</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