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8</w:t>
      </w:r>
    </w:p>
    <w:p>
      <w:pPr>
        <w:spacing w:after="160"/>
        <w:jc w:val="center"/>
      </w:pPr>
      <w:r>
        <w:rPr>
          <w:rFonts w:ascii="Arial" w:hAnsi="Arial"/>
          <w:b/>
          <w:color w:val="002FA7"/>
          <w:sz w:val="48"/>
        </w:rPr>
        <w:t>Grille des trois</w:t>
        <w:br/>
        <w:t>niveaux de prévention</w:t>
      </w:r>
    </w:p>
    <w:p>
      <w:pPr>
        <w:spacing w:after="600"/>
        <w:jc w:val="center"/>
      </w:pPr>
      <w:r>
        <w:rPr>
          <w:rFonts w:ascii="Georgia" w:hAnsi="Georgia"/>
          <w:b w:val="0"/>
          <w:color w:val="5A607A"/>
          <w:sz w:val="26"/>
        </w:rPr>
        <w:t>Croisement des six familles Gollac avec les niveaux primaire, secondaire et tertiaire</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La hiérarchie légale des trois niveaux de prévention</w:t>
      </w:r>
    </w:p>
    <w:p>
      <w:pPr>
        <w:spacing w:after="120"/>
      </w:pPr>
      <w:r>
        <w:rPr>
          <w:rFonts w:ascii="Georgia" w:hAnsi="Georgia"/>
          <w:b w:val="0"/>
          <w:color w:val="1A1D2E"/>
          <w:sz w:val="22"/>
        </w:rPr>
        <w:t>L'article L.4121-2 du Code du travail énonce les neuf principes généraux de prévention, dont le premier ordonne d'éviter les risques et le deuxième de les évaluer. Cette hiérarchie consacre une priorité claire : la prévention primaire, qui agit sur les causes organisationnelles à la source, prime sur la prévention secondaire (renforcement des ressources des salariés) et tertiaire (prise en charge des conséquences).</w:t>
      </w:r>
    </w:p>
    <w:p>
      <w:pPr>
        <w:spacing w:after="120"/>
      </w:pPr>
      <w:r>
        <w:rPr>
          <w:rFonts w:ascii="Georgia" w:hAnsi="Georgia"/>
          <w:b w:val="0"/>
          <w:color w:val="1A1D2E"/>
          <w:sz w:val="22"/>
        </w:rPr>
        <w:t>Cette priorité n'est pas seulement éthique, elle est juridique. Un plan de prévention qui se concentre exclusivement sur la formation à la gestion du stress ou sur l'accompagnement psychologique des situations dégradées s'expose à un risque contentieux : l'employeur peut être considéré comme ayant manqué à son obligation de sécurité de résultat parce qu'il n'a pas agi sur les causes organisationnelles.</w:t>
      </w:r>
    </w:p>
    <w:p>
      <w:pPr>
        <w:shd w:val="clear" w:color="auto" w:fill="E8F0FA"/>
        <w:spacing w:before="120" w:after="200"/>
        <w:ind w:left="170"/>
      </w:pPr>
      <w:r>
        <w:rPr>
          <w:rFonts w:ascii="Arial" w:hAnsi="Arial"/>
          <w:b/>
          <w:color w:val="002FA7"/>
          <w:sz w:val="20"/>
        </w:rPr>
        <w:t xml:space="preserve">Point juridique : </w:t>
      </w:r>
      <w:r>
        <w:rPr>
          <w:rFonts w:ascii="Georgia" w:hAnsi="Georgia"/>
          <w:color w:val="1A1D2E"/>
          <w:sz w:val="20"/>
        </w:rPr>
        <w:t>Un plan de prévention équilibré comporte des actions sur les trois niveaux, avec une part majoritaire de prévention primaire. Si le plan ne comporte que de la prévention secondaire ou tertiaire, la démarche est fragile sur le plan préventif et sur le plan juridique.</w:t>
      </w:r>
    </w:p>
    <w:p>
      <w:pPr>
        <w:spacing w:before="360" w:after="200"/>
      </w:pPr>
      <w:r>
        <w:rPr>
          <w:rFonts w:ascii="Arial" w:hAnsi="Arial"/>
          <w:b/>
          <w:color w:val="002FA7"/>
          <w:sz w:val="36"/>
        </w:rPr>
        <w:t>2. Matrice croisée : 6 familles Gollac × 3 niveaux</w:t>
      </w:r>
    </w:p>
    <w:p>
      <w:pPr>
        <w:spacing w:after="120"/>
      </w:pPr>
      <w:r>
        <w:rPr>
          <w:rFonts w:ascii="Georgia" w:hAnsi="Georgia"/>
          <w:b w:val="0"/>
          <w:color w:val="1A1D2E"/>
          <w:sz w:val="22"/>
        </w:rPr>
        <w:t>Pour chaque famille de facteurs de risque, des actions types existent sur les trois niveaux. La grille ci-dessous présente des exemples illustratifs à adapter à la situation de l'organisation.</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2493"/>
        <w:gridCol w:w="2493"/>
        <w:gridCol w:w="2493"/>
        <w:gridCol w:w="2493"/>
      </w:tblGrid>
      <w:tr>
        <w:tc>
          <w:tcPr>
            <w:tcW w:type="dxa" w:w="2493"/>
            <w:shd w:val="clear" w:color="auto" w:fill="002FA7"/>
          </w:tcPr>
          <w:p>
            <w:r>
              <w:rPr>
                <w:rFonts w:ascii="Arial" w:hAnsi="Arial"/>
                <w:b/>
                <w:color w:val="FFFFFF"/>
                <w:sz w:val="20"/>
              </w:rPr>
            </w:r>
            <w:r>
              <w:rPr>
                <w:rFonts w:ascii="Arial" w:hAnsi="Arial"/>
                <w:b/>
                <w:color w:val="FFFFFF"/>
                <w:sz w:val="20"/>
              </w:rPr>
              <w:t>Famille Gollac</w:t>
            </w:r>
          </w:p>
        </w:tc>
        <w:tc>
          <w:tcPr>
            <w:tcW w:type="dxa" w:w="2493"/>
            <w:shd w:val="clear" w:color="auto" w:fill="002FA7"/>
          </w:tcPr>
          <w:p>
            <w:r>
              <w:rPr>
                <w:rFonts w:ascii="Arial" w:hAnsi="Arial"/>
                <w:b/>
                <w:color w:val="FFFFFF"/>
                <w:sz w:val="20"/>
              </w:rPr>
            </w:r>
            <w:r>
              <w:rPr>
                <w:rFonts w:ascii="Arial" w:hAnsi="Arial"/>
                <w:b/>
                <w:color w:val="FFFFFF"/>
                <w:sz w:val="20"/>
              </w:rPr>
              <w:t>Prévention primaire (organisation)</w:t>
            </w:r>
          </w:p>
        </w:tc>
        <w:tc>
          <w:tcPr>
            <w:tcW w:type="dxa" w:w="2493"/>
            <w:shd w:val="clear" w:color="auto" w:fill="002FA7"/>
          </w:tcPr>
          <w:p>
            <w:r>
              <w:rPr>
                <w:rFonts w:ascii="Arial" w:hAnsi="Arial"/>
                <w:b/>
                <w:color w:val="FFFFFF"/>
                <w:sz w:val="20"/>
              </w:rPr>
            </w:r>
            <w:r>
              <w:rPr>
                <w:rFonts w:ascii="Arial" w:hAnsi="Arial"/>
                <w:b/>
                <w:color w:val="FFFFFF"/>
                <w:sz w:val="20"/>
              </w:rPr>
              <w:t>Prévention secondaire (ressources)</w:t>
            </w:r>
          </w:p>
        </w:tc>
        <w:tc>
          <w:tcPr>
            <w:tcW w:type="dxa" w:w="2493"/>
            <w:shd w:val="clear" w:color="auto" w:fill="002FA7"/>
          </w:tcPr>
          <w:p>
            <w:r>
              <w:rPr>
                <w:rFonts w:ascii="Arial" w:hAnsi="Arial"/>
                <w:b/>
                <w:color w:val="FFFFFF"/>
                <w:sz w:val="20"/>
              </w:rPr>
            </w:r>
            <w:r>
              <w:rPr>
                <w:rFonts w:ascii="Arial" w:hAnsi="Arial"/>
                <w:b/>
                <w:color w:val="FFFFFF"/>
                <w:sz w:val="20"/>
              </w:rPr>
              <w:t>Prévention tertiaire (prise en charge)</w:t>
            </w:r>
          </w:p>
        </w:tc>
      </w:tr>
      <w:tr>
        <w:tc>
          <w:tcPr>
            <w:tcW w:type="dxa" w:w="2493"/>
          </w:tcPr>
          <w:p>
            <w:r/>
            <w:r>
              <w:rPr>
                <w:rFonts w:ascii="Arial" w:hAnsi="Arial"/>
                <w:b/>
                <w:color w:val="1A47B8"/>
                <w:sz w:val="18"/>
              </w:rPr>
              <w:t>Intensité et temps de travail</w:t>
            </w:r>
          </w:p>
        </w:tc>
        <w:tc>
          <w:tcPr>
            <w:tcW w:type="dxa" w:w="2493"/>
          </w:tcPr>
          <w:p>
            <w:r/>
            <w:r>
              <w:rPr>
                <w:rFonts w:ascii="Georgia" w:hAnsi="Georgia"/>
                <w:b w:val="0"/>
                <w:color w:val="1A1D2E"/>
                <w:sz w:val="18"/>
              </w:rPr>
              <w:t>Revoir la charge de travail, réviser les plannings, intégrer les temps réels (préparation, transmission), limiter les changements de dernière minute</w:t>
            </w:r>
          </w:p>
        </w:tc>
        <w:tc>
          <w:tcPr>
            <w:tcW w:type="dxa" w:w="2493"/>
          </w:tcPr>
          <w:p>
            <w:r/>
            <w:r>
              <w:rPr>
                <w:rFonts w:ascii="Georgia" w:hAnsi="Georgia"/>
                <w:b w:val="0"/>
                <w:color w:val="1A1D2E"/>
                <w:sz w:val="18"/>
              </w:rPr>
              <w:t>Former l'encadrement à la régulation de la charge, sensibiliser aux signaux d'alerte, mettre en place un dispositif de signalement</w:t>
            </w:r>
          </w:p>
        </w:tc>
        <w:tc>
          <w:tcPr>
            <w:tcW w:type="dxa" w:w="2493"/>
          </w:tcPr>
          <w:p>
            <w:r/>
            <w:r>
              <w:rPr>
                <w:rFonts w:ascii="Georgia" w:hAnsi="Georgia"/>
                <w:b w:val="0"/>
                <w:color w:val="1A1D2E"/>
                <w:sz w:val="18"/>
              </w:rPr>
              <w:t>Adapter les postes en cas de surcharge subie, mobiliser le médecin du travail pour les arrêts liés à l'épuisement</w:t>
            </w:r>
          </w:p>
        </w:tc>
      </w:tr>
      <w:tr>
        <w:tc>
          <w:tcPr>
            <w:tcW w:type="dxa" w:w="2493"/>
          </w:tcPr>
          <w:p>
            <w:r/>
            <w:r>
              <w:rPr>
                <w:rFonts w:ascii="Arial" w:hAnsi="Arial"/>
                <w:b/>
                <w:color w:val="1A47B8"/>
                <w:sz w:val="18"/>
              </w:rPr>
              <w:t>Exigences émotionnelles</w:t>
            </w:r>
          </w:p>
        </w:tc>
        <w:tc>
          <w:tcPr>
            <w:tcW w:type="dxa" w:w="2493"/>
          </w:tcPr>
          <w:p>
            <w:r/>
            <w:r>
              <w:rPr>
                <w:rFonts w:ascii="Georgia" w:hAnsi="Georgia"/>
                <w:b w:val="0"/>
                <w:color w:val="1A1D2E"/>
                <w:sz w:val="18"/>
              </w:rPr>
              <w:t>Refondre les protocoles d'accueil du public, sécuriser physiquement les lieux exposés, prévoir des temps de répit dans les services à forte exposition</w:t>
            </w:r>
          </w:p>
        </w:tc>
        <w:tc>
          <w:tcPr>
            <w:tcW w:type="dxa" w:w="2493"/>
          </w:tcPr>
          <w:p>
            <w:r/>
            <w:r>
              <w:rPr>
                <w:rFonts w:ascii="Georgia" w:hAnsi="Georgia"/>
                <w:b w:val="0"/>
                <w:color w:val="1A1D2E"/>
                <w:sz w:val="18"/>
              </w:rPr>
              <w:t>Former à la gestion de l'agressivité, organiser des groupes d'analyse de pratiques, mettre en place une ligne d'écoute confidentielle</w:t>
            </w:r>
          </w:p>
        </w:tc>
        <w:tc>
          <w:tcPr>
            <w:tcW w:type="dxa" w:w="2493"/>
          </w:tcPr>
          <w:p>
            <w:r/>
            <w:r>
              <w:rPr>
                <w:rFonts w:ascii="Georgia" w:hAnsi="Georgia"/>
                <w:b w:val="0"/>
                <w:color w:val="1A1D2E"/>
                <w:sz w:val="18"/>
              </w:rPr>
              <w:t>Protocoliser le post-événement traumatique (debriefing, accompagnement psychologique), assurer un retour au travail accompagné</w:t>
            </w:r>
          </w:p>
        </w:tc>
      </w:tr>
      <w:tr>
        <w:tc>
          <w:tcPr>
            <w:tcW w:type="dxa" w:w="2493"/>
          </w:tcPr>
          <w:p>
            <w:r/>
            <w:r>
              <w:rPr>
                <w:rFonts w:ascii="Arial" w:hAnsi="Arial"/>
                <w:b/>
                <w:color w:val="1A47B8"/>
                <w:sz w:val="18"/>
              </w:rPr>
              <w:t>Autonomie et marges de manoeuvre</w:t>
            </w:r>
          </w:p>
        </w:tc>
        <w:tc>
          <w:tcPr>
            <w:tcW w:type="dxa" w:w="2493"/>
          </w:tcPr>
          <w:p>
            <w:r/>
            <w:r>
              <w:rPr>
                <w:rFonts w:ascii="Georgia" w:hAnsi="Georgia"/>
                <w:b w:val="0"/>
                <w:color w:val="1A1D2E"/>
                <w:sz w:val="18"/>
              </w:rPr>
              <w:t>Refondre les procédures avec les opérationnels, élargir les délégations, créer des espaces de décision intermédiaires</w:t>
            </w:r>
          </w:p>
        </w:tc>
        <w:tc>
          <w:tcPr>
            <w:tcW w:type="dxa" w:w="2493"/>
          </w:tcPr>
          <w:p>
            <w:r/>
            <w:r>
              <w:rPr>
                <w:rFonts w:ascii="Georgia" w:hAnsi="Georgia"/>
                <w:b w:val="0"/>
                <w:color w:val="1A1D2E"/>
                <w:sz w:val="18"/>
              </w:rPr>
              <w:t>Former les encadrants au management participatif, développer la formation continue, accompagner les prises de poste</w:t>
            </w:r>
          </w:p>
        </w:tc>
        <w:tc>
          <w:tcPr>
            <w:tcW w:type="dxa" w:w="2493"/>
          </w:tcPr>
          <w:p>
            <w:r/>
            <w:r>
              <w:rPr>
                <w:rFonts w:ascii="Georgia" w:hAnsi="Georgia"/>
                <w:b w:val="0"/>
                <w:color w:val="1A1D2E"/>
                <w:sz w:val="18"/>
              </w:rPr>
              <w:t>Évaluer périodiquement le ressenti d'autonomie, ajuster les modes de pilotage</w:t>
            </w:r>
          </w:p>
        </w:tc>
      </w:tr>
      <w:tr>
        <w:tc>
          <w:tcPr>
            <w:tcW w:type="dxa" w:w="2493"/>
          </w:tcPr>
          <w:p>
            <w:r/>
            <w:r>
              <w:rPr>
                <w:rFonts w:ascii="Arial" w:hAnsi="Arial"/>
                <w:b/>
                <w:color w:val="1A47B8"/>
                <w:sz w:val="18"/>
              </w:rPr>
              <w:t>Rapports sociaux et reconnaissance</w:t>
            </w:r>
          </w:p>
        </w:tc>
        <w:tc>
          <w:tcPr>
            <w:tcW w:type="dxa" w:w="2493"/>
          </w:tcPr>
          <w:p>
            <w:r/>
            <w:r>
              <w:rPr>
                <w:rFonts w:ascii="Georgia" w:hAnsi="Georgia"/>
                <w:b w:val="0"/>
                <w:color w:val="1A1D2E"/>
                <w:sz w:val="18"/>
              </w:rPr>
              <w:t>Refonder les systèmes de reconnaissance, clarifier les critères d'évaluation, restructurer les modes de management</w:t>
            </w:r>
          </w:p>
        </w:tc>
        <w:tc>
          <w:tcPr>
            <w:tcW w:type="dxa" w:w="2493"/>
          </w:tcPr>
          <w:p>
            <w:r/>
            <w:r>
              <w:rPr>
                <w:rFonts w:ascii="Georgia" w:hAnsi="Georgia"/>
                <w:b w:val="0"/>
                <w:color w:val="1A1D2E"/>
                <w:sz w:val="18"/>
              </w:rPr>
              <w:t>Former à la conduite des entretiens, mettre en place des dispositifs de médiation, sensibiliser à la prévention du harcèlement</w:t>
            </w:r>
          </w:p>
        </w:tc>
        <w:tc>
          <w:tcPr>
            <w:tcW w:type="dxa" w:w="2493"/>
          </w:tcPr>
          <w:p>
            <w:r/>
            <w:r>
              <w:rPr>
                <w:rFonts w:ascii="Georgia" w:hAnsi="Georgia"/>
                <w:b w:val="0"/>
                <w:color w:val="1A1D2E"/>
                <w:sz w:val="18"/>
              </w:rPr>
              <w:t>Traiter les situations de harcèlement (enquête, sanction, réparation), accompagner les personnes en conflit</w:t>
            </w:r>
          </w:p>
        </w:tc>
      </w:tr>
      <w:tr>
        <w:tc>
          <w:tcPr>
            <w:tcW w:type="dxa" w:w="2493"/>
          </w:tcPr>
          <w:p>
            <w:r/>
            <w:r>
              <w:rPr>
                <w:rFonts w:ascii="Arial" w:hAnsi="Arial"/>
                <w:b/>
                <w:color w:val="1A47B8"/>
                <w:sz w:val="18"/>
              </w:rPr>
              <w:t>Conflits de valeurs et qualité empêchée</w:t>
            </w:r>
          </w:p>
        </w:tc>
        <w:tc>
          <w:tcPr>
            <w:tcW w:type="dxa" w:w="2493"/>
          </w:tcPr>
          <w:p>
            <w:r/>
            <w:r>
              <w:rPr>
                <w:rFonts w:ascii="Georgia" w:hAnsi="Georgia"/>
                <w:b w:val="0"/>
                <w:color w:val="1A1D2E"/>
                <w:sz w:val="18"/>
              </w:rPr>
              <w:t>Réviser les indicateurs de performance pour intégrer la qualité, organiser des espaces de discussion sur le travail réel, ajuster les arbitrages organisationnels</w:t>
            </w:r>
          </w:p>
        </w:tc>
        <w:tc>
          <w:tcPr>
            <w:tcW w:type="dxa" w:w="2493"/>
          </w:tcPr>
          <w:p>
            <w:r/>
            <w:r>
              <w:rPr>
                <w:rFonts w:ascii="Georgia" w:hAnsi="Georgia"/>
                <w:b w:val="0"/>
                <w:color w:val="1A1D2E"/>
                <w:sz w:val="18"/>
              </w:rPr>
              <w:t>Former les managers à reconnaître la qualité empêchée, créer des temps de débat sur le métier</w:t>
            </w:r>
          </w:p>
        </w:tc>
        <w:tc>
          <w:tcPr>
            <w:tcW w:type="dxa" w:w="2493"/>
          </w:tcPr>
          <w:p>
            <w:r/>
            <w:r>
              <w:rPr>
                <w:rFonts w:ascii="Georgia" w:hAnsi="Georgia"/>
                <w:b w:val="0"/>
                <w:color w:val="1A1D2E"/>
                <w:sz w:val="18"/>
              </w:rPr>
              <w:t>Accompagner individuellement les salariés en souffrance éthique, mobiliser le médecin du travail ou le psychologue</w:t>
            </w:r>
          </w:p>
        </w:tc>
      </w:tr>
      <w:tr>
        <w:tc>
          <w:tcPr>
            <w:tcW w:type="dxa" w:w="2493"/>
          </w:tcPr>
          <w:p>
            <w:r/>
            <w:r>
              <w:rPr>
                <w:rFonts w:ascii="Arial" w:hAnsi="Arial"/>
                <w:b/>
                <w:color w:val="1A47B8"/>
                <w:sz w:val="18"/>
              </w:rPr>
              <w:t>Insécurité de la situation de travail</w:t>
            </w:r>
          </w:p>
        </w:tc>
        <w:tc>
          <w:tcPr>
            <w:tcW w:type="dxa" w:w="2493"/>
          </w:tcPr>
          <w:p>
            <w:r/>
            <w:r>
              <w:rPr>
                <w:rFonts w:ascii="Georgia" w:hAnsi="Georgia"/>
                <w:b w:val="0"/>
                <w:color w:val="1A1D2E"/>
                <w:sz w:val="18"/>
              </w:rPr>
              <w:t>Sécuriser les financements pluriannuels, donner de la visibilité sur les évolutions, anticiper les transformations</w:t>
            </w:r>
          </w:p>
        </w:tc>
        <w:tc>
          <w:tcPr>
            <w:tcW w:type="dxa" w:w="2493"/>
          </w:tcPr>
          <w:p>
            <w:r/>
            <w:r>
              <w:rPr>
                <w:rFonts w:ascii="Georgia" w:hAnsi="Georgia"/>
                <w:b w:val="0"/>
                <w:color w:val="1A1D2E"/>
                <w:sz w:val="18"/>
              </w:rPr>
              <w:t>Former à la conduite du changement, accompagner les transitions de carrière, mettre en place des bilans de compétences</w:t>
            </w:r>
          </w:p>
        </w:tc>
        <w:tc>
          <w:tcPr>
            <w:tcW w:type="dxa" w:w="2493"/>
          </w:tcPr>
          <w:p>
            <w:r/>
            <w:r>
              <w:rPr>
                <w:rFonts w:ascii="Georgia" w:hAnsi="Georgia"/>
                <w:b w:val="0"/>
                <w:color w:val="1A1D2E"/>
                <w:sz w:val="18"/>
              </w:rPr>
              <w:t>Accompagner les reclassements et les sorties (outplacement), maintenir un lien avec les anciens salariés en cas de restructuration</w:t>
            </w:r>
          </w:p>
        </w:tc>
      </w:tr>
    </w:tbl>
    <w:p>
      <w:pPr>
        <w:spacing w:after="200"/>
      </w:pPr>
      <w:r>
        <w:rPr>
          <w:rFonts w:ascii="Georgia" w:hAnsi="Georgia"/>
          <w:b w:val="0"/>
          <w:color w:val="1A1D2E"/>
          <w:sz w:val="22"/>
        </w:rPr>
      </w:r>
    </w:p>
    <w:p>
      <w:pPr>
        <w:spacing w:before="360" w:after="200"/>
      </w:pPr>
      <w:r>
        <w:rPr>
          <w:rFonts w:ascii="Arial" w:hAnsi="Arial"/>
          <w:b/>
          <w:color w:val="002FA7"/>
          <w:sz w:val="36"/>
        </w:rPr>
        <w:t>3. Critères de hiérarchisation des actions</w:t>
      </w:r>
    </w:p>
    <w:p>
      <w:pPr>
        <w:spacing w:after="120"/>
      </w:pPr>
      <w:r>
        <w:rPr>
          <w:rFonts w:ascii="Georgia" w:hAnsi="Georgia"/>
          <w:b w:val="0"/>
          <w:color w:val="1A1D2E"/>
          <w:sz w:val="22"/>
        </w:rPr>
        <w:t>Toutes les actions identifiées dans la matrice ne peuvent être déployées simultanément. Hiérarchiser suppose de croiser plusieurs critères :</w:t>
      </w:r>
    </w:p>
    <w:p>
      <w:pPr>
        <w:spacing w:after="120"/>
      </w:pPr>
      <w:r>
        <w:rPr>
          <w:rFonts w:ascii="Georgia" w:hAnsi="Georgia"/>
          <w:b w:val="0"/>
          <w:color w:val="1A1D2E"/>
          <w:sz w:val="22"/>
        </w:rPr>
        <w:t>L'ampleur de l'exposition : combien de salariés concernés, sur combien de temps, avec quel niveau de gravité potentielle. La maîtrise actuelle : existe-t-il déjà des moyens, sont-ils efficaces, ou la situation est-elle subie. La faisabilité de l'action : ressources nécessaires, calendrier, risques de mise en oeuvre. L'acceptabilité sociale : les représentants du personnel et les salariés perçoivent-ils l'action comme légitime et proportionnée. L'effet attendu sur la santé : à court terme, à moyen terme, sur quel type d'atteinte.</w:t>
      </w:r>
    </w:p>
    <w:p>
      <w:pPr>
        <w:spacing w:before="360" w:after="200"/>
      </w:pPr>
      <w:r>
        <w:rPr>
          <w:rFonts w:ascii="Arial" w:hAnsi="Arial"/>
          <w:b/>
          <w:color w:val="002FA7"/>
          <w:sz w:val="36"/>
        </w:rPr>
        <w:t>4. Pour aller plus loin</w:t>
      </w:r>
    </w:p>
    <w:p>
      <w:pPr>
        <w:spacing w:after="120"/>
      </w:pPr>
      <w:r>
        <w:rPr>
          <w:rFonts w:ascii="Georgia" w:hAnsi="Georgia"/>
          <w:b w:val="0"/>
          <w:color w:val="1A1D2E"/>
          <w:sz w:val="22"/>
        </w:rPr>
        <w:t>L'ouvrage Le guide complet RPS et QVCT, du diagnostic à l'action consacre le chapitre 8 à la hiérarchie des trois niveaux de prévention, en articulant le cadre juridique (article L.4121-2), les apports de l'INRS et les pièges les plus fréquents observés en pratique.</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8 · 3 niveaux de prévention</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