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00"/>
        <w:jc w:val="center"/>
      </w:pPr>
      <w:r>
        <w:rPr>
          <w:rFonts w:ascii="Arial" w:hAnsi="Arial"/>
          <w:b/>
          <w:color w:val="002FA7"/>
          <w:sz w:val="144"/>
        </w:rPr>
        <w:t>Ψ</w:t>
      </w:r>
    </w:p>
    <w:p>
      <w:pPr>
        <w:spacing w:after="80"/>
        <w:jc w:val="center"/>
      </w:pPr>
      <w:r>
        <w:rPr>
          <w:rFonts w:ascii="Arial" w:hAnsi="Arial"/>
          <w:b/>
          <w:color w:val="1A47B8"/>
          <w:sz w:val="28"/>
        </w:rPr>
        <w:t>Outil 6</w:t>
      </w:r>
    </w:p>
    <w:p>
      <w:pPr>
        <w:spacing w:after="160"/>
        <w:jc w:val="center"/>
      </w:pPr>
      <w:r>
        <w:rPr>
          <w:rFonts w:ascii="Arial" w:hAnsi="Arial"/>
          <w:b/>
          <w:color w:val="002FA7"/>
          <w:sz w:val="48"/>
        </w:rPr>
        <w:t>Protocole d'espace</w:t>
        <w:br/>
        <w:t>de discussion sur le travail</w:t>
      </w:r>
    </w:p>
    <w:p>
      <w:pPr>
        <w:spacing w:after="600"/>
        <w:jc w:val="center"/>
      </w:pPr>
      <w:r>
        <w:rPr>
          <w:rFonts w:ascii="Georgia" w:hAnsi="Georgia"/>
          <w:b w:val="0"/>
          <w:color w:val="5A607A"/>
          <w:sz w:val="26"/>
        </w:rPr>
        <w:t>Ouverture, animation et restitution d'un EDT centré sur le travail réel</w:t>
      </w:r>
    </w:p>
    <w:p>
      <w:pPr>
        <w:shd w:val="clear" w:color="auto" w:fill="E8F0FA"/>
        <w:spacing w:before="320" w:after="320"/>
        <w:ind w:left="170" w:right="170"/>
      </w:pPr>
      <w:r>
        <w:rPr>
          <w:rFonts w:ascii="Georgia" w:hAnsi="Georgia"/>
          <w:color w:val="1A1D2E"/>
          <w:sz w:val="22"/>
        </w:rPr>
        <w:t>Outil opérationnel articulé à l'ouvrage Le guide complet RPS et QVCT, du diagnostic à l'action, par Anthony Moulin (Amazon). À adapter à la réalité de votre organisation.</w:t>
      </w:r>
    </w:p>
    <w:p>
      <w:pPr>
        <w:spacing w:after="600"/>
      </w:pPr>
      <w:r>
        <w:rPr>
          <w:rFonts w:ascii="Georgia" w:hAnsi="Georgia"/>
          <w:b w:val="0"/>
          <w:color w:val="1A1D2E"/>
          <w:sz w:val="22"/>
        </w:rPr>
      </w:r>
    </w:p>
    <w:p>
      <w:pPr>
        <w:spacing w:after="40"/>
        <w:jc w:val="center"/>
      </w:pPr>
      <w:r>
        <w:rPr>
          <w:rFonts w:ascii="Arial" w:hAnsi="Arial"/>
          <w:b/>
          <w:color w:val="1A1D2E"/>
          <w:sz w:val="22"/>
        </w:rPr>
        <w:t>Anthony Moulin</w:t>
      </w:r>
    </w:p>
    <w:p>
      <w:pPr>
        <w:spacing w:after="40"/>
        <w:jc w:val="center"/>
      </w:pPr>
      <w:r>
        <w:rPr>
          <w:rFonts w:ascii="Arial" w:hAnsi="Arial"/>
          <w:b w:val="0"/>
          <w:color w:val="5A607A"/>
          <w:sz w:val="20"/>
        </w:rPr>
        <w:t>Psychologue du travail · psychologiedutravail.org</w:t>
      </w:r>
    </w:p>
    <w:p>
      <w:pPr>
        <w:spacing w:after="40"/>
        <w:jc w:val="center"/>
      </w:pPr>
      <w:r>
        <w:rPr>
          <w:rFonts w:ascii="Arial" w:hAnsi="Arial"/>
          <w:b w:val="0"/>
          <w:color w:val="5A607A"/>
          <w:sz w:val="18"/>
        </w:rPr>
        <w:t>Version 1.0 · mai 2026</w:t>
      </w:r>
    </w:p>
    <w:p>
      <w:r>
        <w:br w:type="page"/>
      </w:r>
    </w:p>
    <w:p>
      <w:pPr>
        <w:spacing w:before="360" w:after="200"/>
      </w:pPr>
      <w:r>
        <w:rPr>
          <w:rFonts w:ascii="Arial" w:hAnsi="Arial"/>
          <w:b/>
          <w:color w:val="002FA7"/>
          <w:sz w:val="36"/>
        </w:rPr>
        <w:t>1. Qu'est-ce qu'un espace de discussion sur le travail</w:t>
      </w:r>
    </w:p>
    <w:p>
      <w:pPr>
        <w:spacing w:after="120"/>
      </w:pPr>
      <w:r>
        <w:rPr>
          <w:rFonts w:ascii="Georgia" w:hAnsi="Georgia"/>
          <w:b w:val="0"/>
          <w:color w:val="1A1D2E"/>
          <w:sz w:val="22"/>
        </w:rPr>
        <w:t>Les espaces de discussion sur le travail (EDT) trouvent leurs racines théoriques dans la clinique de l'activité d'Yves Clot et dans les apports de l'ANACT, qui en a fait l'un des piliers de la démarche QVCT. Ce sont des temps formellement organisés au sein du travail, réguliers, paritaires entre opérationnels et encadrants, dont la finalité explicite est de parler du travail réel : ses difficultés, ses contradictions, ses ajustements, ses bonnes pratiques implicites.</w:t>
      </w:r>
    </w:p>
    <w:p>
      <w:pPr>
        <w:spacing w:after="120"/>
      </w:pPr>
      <w:r>
        <w:rPr>
          <w:rFonts w:ascii="Georgia" w:hAnsi="Georgia"/>
          <w:b w:val="0"/>
          <w:color w:val="1A1D2E"/>
          <w:sz w:val="22"/>
        </w:rPr>
        <w:t>Un EDT n'est ni une réunion d'équipe classique (centrée sur la production), ni un groupe d'analyse de pratiques (centré sur les situations cliniques), ni un café-débat (sans cadre méthodologique). C'est un dispositif structuré qui mobilise une posture spécifique : la suspension du jugement, l'écoute du métier, la mise en mots de ce qui d'ordinaire reste invisible.</w:t>
      </w:r>
    </w:p>
    <w:p>
      <w:pPr>
        <w:shd w:val="clear" w:color="auto" w:fill="E8F0FA"/>
        <w:spacing w:before="120" w:after="200"/>
        <w:ind w:left="170"/>
      </w:pPr>
      <w:r>
        <w:rPr>
          <w:rFonts w:ascii="Arial" w:hAnsi="Arial"/>
          <w:b/>
          <w:color w:val="002FA7"/>
          <w:sz w:val="20"/>
        </w:rPr>
        <w:t xml:space="preserve">Vigilance : </w:t>
      </w:r>
      <w:r>
        <w:rPr>
          <w:rFonts w:ascii="Georgia" w:hAnsi="Georgia"/>
          <w:color w:val="1A1D2E"/>
          <w:sz w:val="20"/>
        </w:rPr>
        <w:t>L'EDT ne se décrète pas. Il se construit dans la durée. Les premiers EDT sont souvent décevants car les participants restent dans le registre de la plainte ou de la résolution rapide. C'est avec la régularité (mensuelle ou bi-mensuelle) que la parole se libère et que le dispositif produit ses effets.</w:t>
      </w:r>
    </w:p>
    <w:p>
      <w:pPr>
        <w:spacing w:before="360" w:after="200"/>
      </w:pPr>
      <w:r>
        <w:rPr>
          <w:rFonts w:ascii="Arial" w:hAnsi="Arial"/>
          <w:b/>
          <w:color w:val="002FA7"/>
          <w:sz w:val="36"/>
        </w:rPr>
        <w:t>2. Préparation de l'EDT</w:t>
      </w:r>
    </w:p>
    <w:p>
      <w:pPr>
        <w:spacing w:before="280" w:after="120"/>
      </w:pPr>
      <w:r>
        <w:rPr>
          <w:rFonts w:ascii="Arial" w:hAnsi="Arial"/>
          <w:b/>
          <w:color w:val="1A47B8"/>
          <w:sz w:val="26"/>
        </w:rPr>
        <w:t>2.1. Cadrage initial</w:t>
      </w:r>
    </w:p>
    <w:tbl>
      <w:tblPr>
        <w:tblW w:type="auto" w:w="0"/>
        <w:tblLook w:firstColumn="1" w:firstRow="1" w:lastColumn="0" w:lastRow="0" w:noHBand="0" w:noVBand="1" w:val="04A0"/>
        <w:tblBorders>
          <w:top w:val="single" w:sz="4" w:color="6699DD"/>
          <w:left w:val="single" w:sz="4" w:color="6699DD"/>
          <w:bottom w:val="single" w:sz="4" w:color="6699DD"/>
          <w:right w:val="single" w:sz="4" w:color="6699DD"/>
          <w:insideH w:val="single" w:sz="4" w:color="6699DD"/>
          <w:insideV w:val="single" w:sz="4" w:color="6699DD"/>
        </w:tblBorders>
      </w:tblPr>
      <w:tblGrid>
        <w:gridCol w:w="4986"/>
        <w:gridCol w:w="4986"/>
      </w:tblGrid>
      <w:tr>
        <w:tc>
          <w:tcPr>
            <w:tcW w:type="dxa" w:w="4986"/>
            <w:shd w:val="clear" w:color="auto" w:fill="E8F0FA"/>
          </w:tcPr>
          <w:p>
            <w:r/>
            <w:r>
              <w:rPr>
                <w:rFonts w:ascii="Arial" w:hAnsi="Arial"/>
                <w:b/>
                <w:color w:val="002FA7"/>
                <w:sz w:val="20"/>
              </w:rPr>
              <w:t>Unité de travail concernée</w:t>
            </w:r>
          </w:p>
        </w:tc>
        <w:tc>
          <w:tcPr>
            <w:tcW w:type="dxa" w:w="4986"/>
          </w:tcPr>
          <w:p>
            <w:r/>
            <w:r>
              <w:rPr>
                <w:rFonts w:ascii="Georgia" w:hAnsi="Georgia"/>
                <w:b w:val="0"/>
                <w:color w:val="1A1D2E"/>
                <w:sz w:val="20"/>
              </w:rPr>
              <w:t>...</w:t>
            </w:r>
          </w:p>
        </w:tc>
      </w:tr>
      <w:tr>
        <w:tc>
          <w:tcPr>
            <w:tcW w:type="dxa" w:w="4986"/>
            <w:shd w:val="clear" w:color="auto" w:fill="E8F0FA"/>
          </w:tcPr>
          <w:p>
            <w:r/>
            <w:r>
              <w:rPr>
                <w:rFonts w:ascii="Arial" w:hAnsi="Arial"/>
                <w:b/>
                <w:color w:val="002FA7"/>
                <w:sz w:val="20"/>
              </w:rPr>
              <w:t>Périodicité retenue (mensuelle, bi-mensuelle, trimestrielle)</w:t>
            </w:r>
          </w:p>
        </w:tc>
        <w:tc>
          <w:tcPr>
            <w:tcW w:type="dxa" w:w="4986"/>
          </w:tcPr>
          <w:p>
            <w:r/>
            <w:r>
              <w:rPr>
                <w:rFonts w:ascii="Georgia" w:hAnsi="Georgia"/>
                <w:b w:val="0"/>
                <w:color w:val="1A1D2E"/>
                <w:sz w:val="20"/>
              </w:rPr>
              <w:t>...</w:t>
            </w:r>
          </w:p>
        </w:tc>
      </w:tr>
      <w:tr>
        <w:tc>
          <w:tcPr>
            <w:tcW w:type="dxa" w:w="4986"/>
            <w:shd w:val="clear" w:color="auto" w:fill="E8F0FA"/>
          </w:tcPr>
          <w:p>
            <w:r/>
            <w:r>
              <w:rPr>
                <w:rFonts w:ascii="Arial" w:hAnsi="Arial"/>
                <w:b/>
                <w:color w:val="002FA7"/>
                <w:sz w:val="20"/>
              </w:rPr>
              <w:t>Durée des séances (90 min recommandées)</w:t>
            </w:r>
          </w:p>
        </w:tc>
        <w:tc>
          <w:tcPr>
            <w:tcW w:type="dxa" w:w="4986"/>
          </w:tcPr>
          <w:p>
            <w:r/>
            <w:r>
              <w:rPr>
                <w:rFonts w:ascii="Georgia" w:hAnsi="Georgia"/>
                <w:b w:val="0"/>
                <w:color w:val="1A1D2E"/>
                <w:sz w:val="20"/>
              </w:rPr>
              <w:t>...</w:t>
            </w:r>
          </w:p>
        </w:tc>
      </w:tr>
      <w:tr>
        <w:tc>
          <w:tcPr>
            <w:tcW w:type="dxa" w:w="4986"/>
            <w:shd w:val="clear" w:color="auto" w:fill="E8F0FA"/>
          </w:tcPr>
          <w:p>
            <w:r/>
            <w:r>
              <w:rPr>
                <w:rFonts w:ascii="Arial" w:hAnsi="Arial"/>
                <w:b/>
                <w:color w:val="002FA7"/>
                <w:sz w:val="20"/>
              </w:rPr>
              <w:t>Animateur (interne ou externe)</w:t>
            </w:r>
          </w:p>
        </w:tc>
        <w:tc>
          <w:tcPr>
            <w:tcW w:type="dxa" w:w="4986"/>
          </w:tcPr>
          <w:p>
            <w:r/>
            <w:r>
              <w:rPr>
                <w:rFonts w:ascii="Georgia" w:hAnsi="Georgia"/>
                <w:b w:val="0"/>
                <w:color w:val="1A1D2E"/>
                <w:sz w:val="20"/>
              </w:rPr>
              <w:t>...</w:t>
            </w:r>
          </w:p>
        </w:tc>
      </w:tr>
      <w:tr>
        <w:tc>
          <w:tcPr>
            <w:tcW w:type="dxa" w:w="4986"/>
            <w:shd w:val="clear" w:color="auto" w:fill="E8F0FA"/>
          </w:tcPr>
          <w:p>
            <w:r/>
            <w:r>
              <w:rPr>
                <w:rFonts w:ascii="Arial" w:hAnsi="Arial"/>
                <w:b/>
                <w:color w:val="002FA7"/>
                <w:sz w:val="20"/>
              </w:rPr>
              <w:t>Garant institutionnel (RH, direction)</w:t>
            </w:r>
          </w:p>
        </w:tc>
        <w:tc>
          <w:tcPr>
            <w:tcW w:type="dxa" w:w="4986"/>
          </w:tcPr>
          <w:p>
            <w:r/>
            <w:r>
              <w:rPr>
                <w:rFonts w:ascii="Georgia" w:hAnsi="Georgia"/>
                <w:b w:val="0"/>
                <w:color w:val="1A1D2E"/>
                <w:sz w:val="20"/>
              </w:rPr>
              <w:t>...</w:t>
            </w:r>
          </w:p>
        </w:tc>
      </w:tr>
      <w:tr>
        <w:tc>
          <w:tcPr>
            <w:tcW w:type="dxa" w:w="4986"/>
            <w:shd w:val="clear" w:color="auto" w:fill="E8F0FA"/>
          </w:tcPr>
          <w:p>
            <w:r/>
            <w:r>
              <w:rPr>
                <w:rFonts w:ascii="Arial" w:hAnsi="Arial"/>
                <w:b/>
                <w:color w:val="002FA7"/>
                <w:sz w:val="20"/>
              </w:rPr>
              <w:t>Nombre de participants (entre 6 et 12 recommandés)</w:t>
            </w:r>
          </w:p>
        </w:tc>
        <w:tc>
          <w:tcPr>
            <w:tcW w:type="dxa" w:w="4986"/>
          </w:tcPr>
          <w:p>
            <w:r/>
            <w:r>
              <w:rPr>
                <w:rFonts w:ascii="Georgia" w:hAnsi="Georgia"/>
                <w:b w:val="0"/>
                <w:color w:val="1A1D2E"/>
                <w:sz w:val="20"/>
              </w:rPr>
              <w:t>...</w:t>
            </w:r>
          </w:p>
        </w:tc>
      </w:tr>
      <w:tr>
        <w:tc>
          <w:tcPr>
            <w:tcW w:type="dxa" w:w="4986"/>
            <w:shd w:val="clear" w:color="auto" w:fill="E8F0FA"/>
          </w:tcPr>
          <w:p>
            <w:r/>
            <w:r>
              <w:rPr>
                <w:rFonts w:ascii="Arial" w:hAnsi="Arial"/>
                <w:b/>
                <w:color w:val="002FA7"/>
                <w:sz w:val="20"/>
              </w:rPr>
              <w:t>Modalités d'inscription (volontariat, désignation, alternance)</w:t>
            </w:r>
          </w:p>
        </w:tc>
        <w:tc>
          <w:tcPr>
            <w:tcW w:type="dxa" w:w="4986"/>
          </w:tcPr>
          <w:p>
            <w:r/>
            <w:r>
              <w:rPr>
                <w:rFonts w:ascii="Georgia" w:hAnsi="Georgia"/>
                <w:b w:val="0"/>
                <w:color w:val="1A1D2E"/>
                <w:sz w:val="20"/>
              </w:rPr>
              <w:t>...</w:t>
            </w:r>
          </w:p>
        </w:tc>
      </w:tr>
      <w:tr>
        <w:tc>
          <w:tcPr>
            <w:tcW w:type="dxa" w:w="4986"/>
            <w:shd w:val="clear" w:color="auto" w:fill="E8F0FA"/>
          </w:tcPr>
          <w:p>
            <w:r/>
            <w:r>
              <w:rPr>
                <w:rFonts w:ascii="Arial" w:hAnsi="Arial"/>
                <w:b/>
                <w:color w:val="002FA7"/>
                <w:sz w:val="20"/>
              </w:rPr>
              <w:t>Lieu et conditions matérielles</w:t>
            </w:r>
          </w:p>
        </w:tc>
        <w:tc>
          <w:tcPr>
            <w:tcW w:type="dxa" w:w="4986"/>
          </w:tcPr>
          <w:p>
            <w:r/>
            <w:r>
              <w:rPr>
                <w:rFonts w:ascii="Georgia" w:hAnsi="Georgia"/>
                <w:b w:val="0"/>
                <w:color w:val="1A1D2E"/>
                <w:sz w:val="20"/>
              </w:rPr>
              <w:t>...</w:t>
            </w:r>
          </w:p>
        </w:tc>
      </w:tr>
    </w:tbl>
    <w:p>
      <w:pPr>
        <w:spacing w:after="160"/>
      </w:pPr>
      <w:r>
        <w:rPr>
          <w:rFonts w:ascii="Georgia" w:hAnsi="Georgia"/>
          <w:b w:val="0"/>
          <w:color w:val="1A1D2E"/>
          <w:sz w:val="22"/>
        </w:rPr>
      </w:r>
    </w:p>
    <w:p>
      <w:pPr>
        <w:spacing w:before="280" w:after="120"/>
      </w:pPr>
      <w:r>
        <w:rPr>
          <w:rFonts w:ascii="Arial" w:hAnsi="Arial"/>
          <w:b/>
          <w:color w:val="1A47B8"/>
          <w:sz w:val="26"/>
        </w:rPr>
        <w:t>2.2. Charte d'engagement des participants</w:t>
      </w:r>
    </w:p>
    <w:p>
      <w:pPr>
        <w:spacing w:after="120"/>
      </w:pPr>
      <w:r>
        <w:rPr>
          <w:rFonts w:ascii="Georgia" w:hAnsi="Georgia"/>
          <w:b w:val="0"/>
          <w:color w:val="1A1D2E"/>
          <w:sz w:val="22"/>
        </w:rPr>
        <w:t>Avant la première séance, faire signer aux participants une charte d'engagement qui pose les règles du jeu :</w:t>
      </w:r>
    </w:p>
    <w:p>
      <w:pPr>
        <w:spacing w:after="80"/>
      </w:pPr>
      <w:r>
        <w:rPr>
          <w:rFonts w:ascii="Georgia" w:hAnsi="Georgia"/>
          <w:color w:val="1A1D2E"/>
          <w:sz w:val="20"/>
        </w:rPr>
        <w:t>• Confidentialité des paroles individuelles à l'extérieur du groupe</w:t>
      </w:r>
    </w:p>
    <w:p>
      <w:pPr>
        <w:spacing w:after="80"/>
      </w:pPr>
      <w:r>
        <w:rPr>
          <w:rFonts w:ascii="Georgia" w:hAnsi="Georgia"/>
          <w:color w:val="1A1D2E"/>
          <w:sz w:val="20"/>
        </w:rPr>
        <w:t>• Respect mutuel et écoute active</w:t>
      </w:r>
    </w:p>
    <w:p>
      <w:pPr>
        <w:spacing w:after="80"/>
      </w:pPr>
      <w:r>
        <w:rPr>
          <w:rFonts w:ascii="Georgia" w:hAnsi="Georgia"/>
          <w:color w:val="1A1D2E"/>
          <w:sz w:val="20"/>
        </w:rPr>
        <w:t>• Centrer la parole sur le travail réel et non sur les personnes</w:t>
      </w:r>
    </w:p>
    <w:p>
      <w:pPr>
        <w:spacing w:after="80"/>
      </w:pPr>
      <w:r>
        <w:rPr>
          <w:rFonts w:ascii="Georgia" w:hAnsi="Georgia"/>
          <w:color w:val="1A1D2E"/>
          <w:sz w:val="20"/>
        </w:rPr>
        <w:t>• Accepter la prise de notes anonymisée par l'animateur</w:t>
      </w:r>
    </w:p>
    <w:p>
      <w:pPr>
        <w:spacing w:after="80"/>
      </w:pPr>
      <w:r>
        <w:rPr>
          <w:rFonts w:ascii="Georgia" w:hAnsi="Georgia"/>
          <w:color w:val="1A1D2E"/>
          <w:sz w:val="20"/>
        </w:rPr>
        <w:t>• Engagement à participer régulièrement sur la durée prévue (au moins six séances)</w:t>
      </w:r>
    </w:p>
    <w:p>
      <w:pPr>
        <w:spacing w:after="80"/>
      </w:pPr>
      <w:r>
        <w:rPr>
          <w:rFonts w:ascii="Georgia" w:hAnsi="Georgia"/>
          <w:color w:val="1A1D2E"/>
          <w:sz w:val="20"/>
        </w:rPr>
        <w:t>• Possibilité d'interpeller l'animateur si les règles ne sont pas respectées</w:t>
      </w:r>
    </w:p>
    <w:p>
      <w:pPr>
        <w:spacing w:before="360" w:after="200"/>
      </w:pPr>
      <w:r>
        <w:rPr>
          <w:rFonts w:ascii="Arial" w:hAnsi="Arial"/>
          <w:b/>
          <w:color w:val="002FA7"/>
          <w:sz w:val="36"/>
        </w:rPr>
        <w:t>3. Trame d'animation d'une séance</w:t>
      </w:r>
    </w:p>
    <w:p>
      <w:pPr>
        <w:spacing w:before="200" w:after="80"/>
      </w:pPr>
      <w:r>
        <w:rPr>
          <w:rFonts w:ascii="Arial" w:hAnsi="Arial"/>
          <w:b/>
          <w:color w:val="3366CC"/>
          <w:sz w:val="22"/>
        </w:rPr>
        <w:t>Ouverture (5-10 min)</w:t>
      </w:r>
    </w:p>
    <w:p>
      <w:pPr>
        <w:spacing w:after="120"/>
      </w:pPr>
      <w:r>
        <w:rPr>
          <w:rFonts w:ascii="Georgia" w:hAnsi="Georgia"/>
          <w:b w:val="0"/>
          <w:color w:val="1A1D2E"/>
          <w:sz w:val="20"/>
        </w:rPr>
        <w:t>Rappel du cadre et des règles. Tour de table rapide pour prendre la température. L'animateur introduit le thème ou laisse émerger la situation à travailler.</w:t>
      </w:r>
    </w:p>
    <w:p>
      <w:pPr>
        <w:spacing w:before="200" w:after="80"/>
      </w:pPr>
      <w:r>
        <w:rPr>
          <w:rFonts w:ascii="Arial" w:hAnsi="Arial"/>
          <w:b/>
          <w:color w:val="3366CC"/>
          <w:sz w:val="22"/>
        </w:rPr>
        <w:t>Récit d'une situation concrète (20-25 min)</w:t>
      </w:r>
    </w:p>
    <w:p>
      <w:pPr>
        <w:spacing w:after="120"/>
      </w:pPr>
      <w:r>
        <w:rPr>
          <w:rFonts w:ascii="Georgia" w:hAnsi="Georgia"/>
          <w:b w:val="0"/>
          <w:color w:val="1A1D2E"/>
          <w:sz w:val="20"/>
        </w:rPr>
        <w:t>Un participant volontaire raconte une situation de travail récente, vécue, sans la résoudre. L'animateur veille à ce que le récit reste descriptif et concret. Les autres écoutent.</w:t>
      </w:r>
    </w:p>
    <w:p>
      <w:pPr>
        <w:spacing w:before="200" w:after="80"/>
      </w:pPr>
      <w:r>
        <w:rPr>
          <w:rFonts w:ascii="Arial" w:hAnsi="Arial"/>
          <w:b/>
          <w:color w:val="3366CC"/>
          <w:sz w:val="22"/>
        </w:rPr>
        <w:t>Questionnement et exploration (25-30 min)</w:t>
      </w:r>
    </w:p>
    <w:p>
      <w:pPr>
        <w:spacing w:after="120"/>
      </w:pPr>
      <w:r>
        <w:rPr>
          <w:rFonts w:ascii="Georgia" w:hAnsi="Georgia"/>
          <w:b w:val="0"/>
          <w:color w:val="1A1D2E"/>
          <w:sz w:val="20"/>
        </w:rPr>
        <w:t>Les autres participants posent des questions pour comprendre, sans juger. Quelles étaient les alternatives ? Qu'est-ce qui rendait cela difficile ? Qu'est-ce qui a permis de tenir ?</w:t>
      </w:r>
    </w:p>
    <w:p>
      <w:pPr>
        <w:spacing w:before="200" w:after="80"/>
      </w:pPr>
      <w:r>
        <w:rPr>
          <w:rFonts w:ascii="Arial" w:hAnsi="Arial"/>
          <w:b/>
          <w:color w:val="3366CC"/>
          <w:sz w:val="22"/>
        </w:rPr>
        <w:t>Mise en perspective collective (15-20 min)</w:t>
      </w:r>
    </w:p>
    <w:p>
      <w:pPr>
        <w:spacing w:after="120"/>
      </w:pPr>
      <w:r>
        <w:rPr>
          <w:rFonts w:ascii="Georgia" w:hAnsi="Georgia"/>
          <w:b w:val="0"/>
          <w:color w:val="1A1D2E"/>
          <w:sz w:val="20"/>
        </w:rPr>
        <w:t>Le groupe identifie les éléments transversaux : qu'est-ce qui dans cette situation parle de notre travail à tous ? Quelles régularités, quels invariants ?</w:t>
      </w:r>
    </w:p>
    <w:p>
      <w:pPr>
        <w:spacing w:before="200" w:after="80"/>
      </w:pPr>
      <w:r>
        <w:rPr>
          <w:rFonts w:ascii="Arial" w:hAnsi="Arial"/>
          <w:b/>
          <w:color w:val="3366CC"/>
          <w:sz w:val="22"/>
        </w:rPr>
        <w:t>Clôture et engagement (5-10 min)</w:t>
      </w:r>
    </w:p>
    <w:p>
      <w:pPr>
        <w:spacing w:after="120"/>
      </w:pPr>
      <w:r>
        <w:rPr>
          <w:rFonts w:ascii="Georgia" w:hAnsi="Georgia"/>
          <w:b w:val="0"/>
          <w:color w:val="1A1D2E"/>
          <w:sz w:val="20"/>
        </w:rPr>
        <w:t>L'animateur synthétise les points saillants. Le groupe identifie un ou deux éléments à remonter (au DUERP, à la direction, au COPIL). Date de la prochaine séance.</w:t>
      </w:r>
    </w:p>
    <w:p>
      <w:pPr>
        <w:spacing w:before="360" w:after="200"/>
      </w:pPr>
      <w:r>
        <w:rPr>
          <w:rFonts w:ascii="Arial" w:hAnsi="Arial"/>
          <w:b/>
          <w:color w:val="002FA7"/>
          <w:sz w:val="36"/>
        </w:rPr>
        <w:t>4. Restitution et capitalisation</w:t>
      </w:r>
    </w:p>
    <w:p>
      <w:pPr>
        <w:spacing w:after="120"/>
      </w:pPr>
      <w:r>
        <w:rPr>
          <w:rFonts w:ascii="Georgia" w:hAnsi="Georgia"/>
          <w:b w:val="0"/>
          <w:color w:val="1A1D2E"/>
          <w:sz w:val="22"/>
        </w:rPr>
        <w:t>Après chaque séance, l'animateur rédige une note de synthèse anonymisée d'une à deux pages. Cette note circule auprès des participants pour validation, puis alimente trois destinations : le COPIL DUERP-RPS pour intégration dans le diagnostic, la direction et le CSE pour mise à l'agenda des sujets remontés, et l'animateur lui-même pour préparation de la séance suivante.</w:t>
      </w:r>
    </w:p>
    <w:p>
      <w:pPr>
        <w:shd w:val="clear" w:color="auto" w:fill="E8F0FA"/>
        <w:spacing w:before="120" w:after="200"/>
        <w:ind w:left="170"/>
      </w:pPr>
      <w:r>
        <w:rPr>
          <w:rFonts w:ascii="Arial" w:hAnsi="Arial"/>
          <w:b/>
          <w:color w:val="002FA7"/>
          <w:sz w:val="20"/>
        </w:rPr>
        <w:t xml:space="preserve">Condition de réussite : </w:t>
      </w:r>
      <w:r>
        <w:rPr>
          <w:rFonts w:ascii="Georgia" w:hAnsi="Georgia"/>
          <w:color w:val="1A1D2E"/>
          <w:sz w:val="20"/>
        </w:rPr>
        <w:t>Si l'EDT ne produit jamais de remontée concrète vers la direction et le CSE, il perd sa fonction de levier d'action et risque de devenir un défouloir sans effet. La traçabilité des sujets remontés et la transparence sur leur traitement conditionnent la légitimité du dispositif.</w:t>
      </w:r>
    </w:p>
    <w:p>
      <w:pPr>
        <w:spacing w:before="360" w:after="200"/>
      </w:pPr>
      <w:r>
        <w:rPr>
          <w:rFonts w:ascii="Arial" w:hAnsi="Arial"/>
          <w:b/>
          <w:color w:val="002FA7"/>
          <w:sz w:val="36"/>
        </w:rPr>
        <w:t>5. Pour aller plus loin</w:t>
      </w:r>
    </w:p>
    <w:p>
      <w:pPr>
        <w:spacing w:after="120"/>
      </w:pPr>
      <w:r>
        <w:rPr>
          <w:rFonts w:ascii="Georgia" w:hAnsi="Georgia"/>
          <w:b w:val="0"/>
          <w:color w:val="1A1D2E"/>
          <w:sz w:val="22"/>
        </w:rPr>
        <w:t>L'ouvrage Le guide complet RPS et QVCT, du diagnostic à l'action approfondit aux chapitres 6 et 9 les enjeux théoriques (Clot, ANACT) et les écueils pratiques des espaces de discussion sur le travail.</w:t>
      </w:r>
    </w:p>
    <w:sectPr w:rsidR="00FC693F" w:rsidRPr="0006063C" w:rsidSect="00034616">
      <w:headerReference w:type="default" r:id="rId9"/>
      <w:footerReference w:type="default" r:id="rId10"/>
      <w:pgSz w:w="12240" w:h="15840"/>
      <w:pgMar w:top="1134" w:right="1134" w:bottom="1134" w:left="1134" w:header="567" w:footer="56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rial" w:hAnsi="Arial"/>
        <w:i/>
        <w:color w:val="5A607A"/>
        <w:sz w:val="16"/>
      </w:rPr>
      <w:t>psychologiedutravail.org · Kit DUERP-RPS · Outil gratuit</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Bdr>
        <w:bottom w:val="single" w:sz="8" w:color="002FA7"/>
      </w:pBdr>
    </w:pPr>
  </w:p>
  <w:tbl>
    <w:tblPr>
      <w:tblW w:type="auto" w:w="0"/>
      <w:tblLook w:firstColumn="1" w:firstRow="1" w:lastColumn="0" w:lastRow="0" w:noHBand="0" w:noVBand="1" w:val="04A0"/>
    </w:tblPr>
    <w:tblGrid>
      <w:gridCol w:w="4819"/>
      <w:gridCol w:w="4819"/>
    </w:tblGrid>
    <w:tr>
      <w:tc>
        <w:tcPr>
          <w:tcW w:type="dxa" w:w="4819"/>
        </w:tcPr>
        <w:p>
          <w:r/>
          <w:r>
            <w:rPr>
              <w:rFonts w:ascii="Arial" w:hAnsi="Arial"/>
              <w:b/>
              <w:color w:val="002FA7"/>
              <w:sz w:val="18"/>
            </w:rPr>
            <w:t>Ψ  Anthony Moulin · Psychologue du travail</w:t>
          </w:r>
        </w:p>
      </w:tc>
      <w:tc>
        <w:tcPr>
          <w:tcW w:type="dxa" w:w="4819"/>
        </w:tcPr>
        <w:p>
          <w:pPr>
            <w:jc w:val="right"/>
          </w:pPr>
          <w:r/>
          <w:r>
            <w:rPr>
              <w:rFonts w:ascii="Arial" w:hAnsi="Arial"/>
              <w:b w:val="0"/>
              <w:color w:val="5A607A"/>
              <w:sz w:val="18"/>
            </w:rPr>
            <w:t>Outil 6 · Espace de discussion</w:t>
          </w:r>
        </w:p>
      </w:tc>
    </w:tr>
  </w:tbl>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Georgia" w:hAnsi="Georgia"/>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