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0"/>
        <w:jc w:val="center"/>
      </w:pPr>
      <w:r>
        <w:rPr>
          <w:rFonts w:ascii="Arial" w:hAnsi="Arial"/>
          <w:b/>
          <w:color w:val="002FA7"/>
          <w:sz w:val="144"/>
        </w:rPr>
        <w:t>Ψ</w:t>
      </w:r>
    </w:p>
    <w:p>
      <w:pPr>
        <w:spacing w:after="80"/>
        <w:jc w:val="center"/>
      </w:pPr>
      <w:r>
        <w:rPr>
          <w:rFonts w:ascii="Arial" w:hAnsi="Arial"/>
          <w:b/>
          <w:color w:val="1A47B8"/>
          <w:sz w:val="28"/>
        </w:rPr>
        <w:t>Outil 5</w:t>
      </w:r>
    </w:p>
    <w:p>
      <w:pPr>
        <w:spacing w:after="160"/>
        <w:jc w:val="center"/>
      </w:pPr>
      <w:r>
        <w:rPr>
          <w:rFonts w:ascii="Arial" w:hAnsi="Arial"/>
          <w:b/>
          <w:color w:val="002FA7"/>
          <w:sz w:val="48"/>
        </w:rPr>
        <w:t>Grille d'observation</w:t>
        <w:br/>
        <w:t>du travail réel</w:t>
      </w:r>
    </w:p>
    <w:p>
      <w:pPr>
        <w:spacing w:after="600"/>
        <w:jc w:val="center"/>
      </w:pPr>
      <w:r>
        <w:rPr>
          <w:rFonts w:ascii="Georgia" w:hAnsi="Georgia"/>
          <w:b w:val="0"/>
          <w:color w:val="5A607A"/>
          <w:sz w:val="26"/>
        </w:rPr>
        <w:t>Trame de prise de notes selon la tradition de l'ergonomie francophone</w:t>
      </w:r>
    </w:p>
    <w:p>
      <w:pPr>
        <w:shd w:val="clear" w:color="auto" w:fill="E8F0FA"/>
        <w:spacing w:before="320" w:after="320"/>
        <w:ind w:left="170" w:right="170"/>
      </w:pPr>
      <w:r>
        <w:rPr>
          <w:rFonts w:ascii="Georgia" w:hAnsi="Georgia"/>
          <w:color w:val="1A1D2E"/>
          <w:sz w:val="22"/>
        </w:rPr>
        <w:t>Outil opérationnel articulé à l'ouvrage Le guide complet RPS et QVCT, du diagnostic à l'action, par Anthony Moulin (Amazon). À adapter à la réalité de votre organisation.</w:t>
      </w:r>
    </w:p>
    <w:p>
      <w:pPr>
        <w:spacing w:after="600"/>
      </w:pPr>
      <w:r>
        <w:rPr>
          <w:rFonts w:ascii="Georgia" w:hAnsi="Georgia"/>
          <w:b w:val="0"/>
          <w:color w:val="1A1D2E"/>
          <w:sz w:val="22"/>
        </w:rPr>
      </w:r>
    </w:p>
    <w:p>
      <w:pPr>
        <w:spacing w:after="40"/>
        <w:jc w:val="center"/>
      </w:pPr>
      <w:r>
        <w:rPr>
          <w:rFonts w:ascii="Arial" w:hAnsi="Arial"/>
          <w:b/>
          <w:color w:val="1A1D2E"/>
          <w:sz w:val="22"/>
        </w:rPr>
        <w:t>Anthony Moulin</w:t>
      </w:r>
    </w:p>
    <w:p>
      <w:pPr>
        <w:spacing w:after="40"/>
        <w:jc w:val="center"/>
      </w:pPr>
      <w:r>
        <w:rPr>
          <w:rFonts w:ascii="Arial" w:hAnsi="Arial"/>
          <w:b w:val="0"/>
          <w:color w:val="5A607A"/>
          <w:sz w:val="20"/>
        </w:rPr>
        <w:t>Psychologue du travail · psychologiedutravail.org</w:t>
      </w:r>
    </w:p>
    <w:p>
      <w:pPr>
        <w:spacing w:after="40"/>
        <w:jc w:val="center"/>
      </w:pPr>
      <w:r>
        <w:rPr>
          <w:rFonts w:ascii="Arial" w:hAnsi="Arial"/>
          <w:b w:val="0"/>
          <w:color w:val="5A607A"/>
          <w:sz w:val="18"/>
        </w:rPr>
        <w:t>Version 1.0 · mai 2026</w:t>
      </w:r>
    </w:p>
    <w:p>
      <w:r>
        <w:br w:type="page"/>
      </w:r>
    </w:p>
    <w:p>
      <w:pPr>
        <w:spacing w:before="360" w:after="200"/>
      </w:pPr>
      <w:r>
        <w:rPr>
          <w:rFonts w:ascii="Arial" w:hAnsi="Arial"/>
          <w:b/>
          <w:color w:val="002FA7"/>
          <w:sz w:val="36"/>
        </w:rPr>
        <w:t>1. Pourquoi observer le travail réel</w:t>
      </w:r>
    </w:p>
    <w:p>
      <w:pPr>
        <w:spacing w:after="120"/>
      </w:pPr>
      <w:r>
        <w:rPr>
          <w:rFonts w:ascii="Georgia" w:hAnsi="Georgia"/>
          <w:b w:val="0"/>
          <w:color w:val="1A1D2E"/>
          <w:sz w:val="22"/>
        </w:rPr>
        <w:t>La distinction entre travail prescrit et travail réel constitue l'un des apports fondamentaux de l'ergonomie francophone, depuis les travaux de Wisner, Daniellou, Falzon ou Leplat. Le travail prescrit désigne ce que l'organisation demande aux salariés : fiches de poste, procédures, protocoles. Le travail réel désigne ce qu'ils font effectivement pour atteindre le résultat attendu, malgré les variabilités, les imprévus, les contradictions internes au prescrit.</w:t>
      </w:r>
    </w:p>
    <w:p>
      <w:pPr>
        <w:spacing w:after="120"/>
      </w:pPr>
      <w:r>
        <w:rPr>
          <w:rFonts w:ascii="Georgia" w:hAnsi="Georgia"/>
          <w:b w:val="0"/>
          <w:color w:val="1A1D2E"/>
          <w:sz w:val="22"/>
        </w:rPr>
        <w:t>L'écart entre prescrit et réel n'est ni une dérive ni une déviance : c'est le lieu où se logent les compétences, l'expérience accumulée, mais aussi les facteurs de risques psychosociaux qu'aucun document ne révèle. L'observation du travail réel est donc un complément indispensable aux entretiens et aux questionnaires.</w:t>
      </w:r>
    </w:p>
    <w:p>
      <w:pPr>
        <w:shd w:val="clear" w:color="auto" w:fill="E8F0FA"/>
        <w:spacing w:before="120" w:after="200"/>
        <w:ind w:left="170"/>
      </w:pPr>
      <w:r>
        <w:rPr>
          <w:rFonts w:ascii="Arial" w:hAnsi="Arial"/>
          <w:b/>
          <w:color w:val="002FA7"/>
          <w:sz w:val="20"/>
        </w:rPr>
        <w:t xml:space="preserve">Méthode : </w:t>
      </w:r>
      <w:r>
        <w:rPr>
          <w:rFonts w:ascii="Georgia" w:hAnsi="Georgia"/>
          <w:color w:val="1A1D2E"/>
          <w:sz w:val="20"/>
        </w:rPr>
        <w:t>L'observation ne remplace pas la parole des salariés. Elle l'éclaire et la prolonge. Les meilleures observations sont celles qui suscitent ensuite une discussion entre l'observateur et le salarié observé, à partir des notes recueillies.</w:t>
      </w:r>
    </w:p>
    <w:p>
      <w:pPr>
        <w:spacing w:before="360" w:after="200"/>
      </w:pPr>
      <w:r>
        <w:rPr>
          <w:rFonts w:ascii="Arial" w:hAnsi="Arial"/>
          <w:b/>
          <w:color w:val="002FA7"/>
          <w:sz w:val="36"/>
        </w:rPr>
        <w:t>2. Préparation de l'observation</w:t>
      </w:r>
    </w:p>
    <w:p>
      <w:pPr>
        <w:spacing w:before="280" w:after="120"/>
      </w:pPr>
      <w:r>
        <w:rPr>
          <w:rFonts w:ascii="Arial" w:hAnsi="Arial"/>
          <w:b/>
          <w:color w:val="1A47B8"/>
          <w:sz w:val="26"/>
        </w:rPr>
        <w:t>2.1. Définir le cadre</w:t>
      </w:r>
    </w:p>
    <w:tbl>
      <w:tblPr>
        <w:tblW w:type="auto" w:w="0"/>
        <w:tblLook w:firstColumn="1" w:firstRow="1" w:lastColumn="0" w:lastRow="0" w:noHBand="0" w:noVBand="1" w:val="04A0"/>
        <w:tblBorders>
          <w:top w:val="single" w:sz="4" w:color="6699DD"/>
          <w:left w:val="single" w:sz="4" w:color="6699DD"/>
          <w:bottom w:val="single" w:sz="4" w:color="6699DD"/>
          <w:right w:val="single" w:sz="4" w:color="6699DD"/>
          <w:insideH w:val="single" w:sz="4" w:color="6699DD"/>
          <w:insideV w:val="single" w:sz="4" w:color="6699DD"/>
        </w:tblBorders>
      </w:tblPr>
      <w:tblGrid>
        <w:gridCol w:w="4986"/>
        <w:gridCol w:w="4986"/>
      </w:tblGrid>
      <w:tr>
        <w:tc>
          <w:tcPr>
            <w:tcW w:type="dxa" w:w="4986"/>
            <w:shd w:val="clear" w:color="auto" w:fill="E8F0FA"/>
          </w:tcPr>
          <w:p>
            <w:r/>
            <w:r>
              <w:rPr>
                <w:rFonts w:ascii="Arial" w:hAnsi="Arial"/>
                <w:b/>
                <w:color w:val="002FA7"/>
                <w:sz w:val="20"/>
              </w:rPr>
              <w:t>Unité de travail observée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Métier ou fonction observée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Date et heure de l'observation</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Lieu (bureau, atelier, terrain)</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Durée prévue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Observateur (nom et fonction)</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Salarié(s) observé(s) (avec accord explicite)</w:t>
            </w:r>
          </w:p>
        </w:tc>
        <w:tc>
          <w:tcPr>
            <w:tcW w:type="dxa" w:w="4986"/>
          </w:tcPr>
          <w:p>
            <w:r/>
            <w:r>
              <w:rPr>
                <w:rFonts w:ascii="Georgia" w:hAnsi="Georgia"/>
                <w:b w:val="0"/>
                <w:color w:val="1A1D2E"/>
                <w:sz w:val="20"/>
              </w:rPr>
              <w:t>...</w:t>
            </w:r>
          </w:p>
        </w:tc>
      </w:tr>
      <w:tr>
        <w:tc>
          <w:tcPr>
            <w:tcW w:type="dxa" w:w="4986"/>
            <w:shd w:val="clear" w:color="auto" w:fill="E8F0FA"/>
          </w:tcPr>
          <w:p>
            <w:r/>
            <w:r>
              <w:rPr>
                <w:rFonts w:ascii="Arial" w:hAnsi="Arial"/>
                <w:b/>
                <w:color w:val="002FA7"/>
                <w:sz w:val="20"/>
              </w:rPr>
              <w:t>Objectif de l'observation</w:t>
            </w:r>
          </w:p>
        </w:tc>
        <w:tc>
          <w:tcPr>
            <w:tcW w:type="dxa" w:w="4986"/>
          </w:tcPr>
          <w:p>
            <w:r/>
            <w:r>
              <w:rPr>
                <w:rFonts w:ascii="Georgia" w:hAnsi="Georgia"/>
                <w:b w:val="0"/>
                <w:color w:val="1A1D2E"/>
                <w:sz w:val="20"/>
              </w:rPr>
              <w:t>...</w:t>
            </w:r>
          </w:p>
        </w:tc>
      </w:tr>
    </w:tbl>
    <w:p>
      <w:pPr>
        <w:spacing w:after="160"/>
      </w:pPr>
      <w:r>
        <w:rPr>
          <w:rFonts w:ascii="Georgia" w:hAnsi="Georgia"/>
          <w:b w:val="0"/>
          <w:color w:val="1A1D2E"/>
          <w:sz w:val="22"/>
        </w:rPr>
      </w:r>
    </w:p>
    <w:p>
      <w:pPr>
        <w:spacing w:before="280" w:after="120"/>
      </w:pPr>
      <w:r>
        <w:rPr>
          <w:rFonts w:ascii="Arial" w:hAnsi="Arial"/>
          <w:b/>
          <w:color w:val="1A47B8"/>
          <w:sz w:val="26"/>
        </w:rPr>
        <w:t>2.2. Obtenir le consentement éclairé</w:t>
      </w:r>
    </w:p>
    <w:p>
      <w:pPr>
        <w:spacing w:after="120"/>
      </w:pPr>
      <w:r>
        <w:rPr>
          <w:rFonts w:ascii="Georgia" w:hAnsi="Georgia"/>
          <w:b w:val="0"/>
          <w:color w:val="1A1D2E"/>
          <w:sz w:val="22"/>
        </w:rPr>
        <w:t>Avant toute observation, le salarié observé doit en être informé et accepter explicitement. L'observateur précise l'objectif (comprendre le travail, pas évaluer la personne), le devenir des notes (anonymisation, restitution), et le droit du salarié à interrompre à tout moment.</w:t>
      </w:r>
    </w:p>
    <w:p>
      <w:pPr>
        <w:spacing w:before="360" w:after="200"/>
      </w:pPr>
      <w:r>
        <w:rPr>
          <w:rFonts w:ascii="Arial" w:hAnsi="Arial"/>
          <w:b/>
          <w:color w:val="002FA7"/>
          <w:sz w:val="36"/>
        </w:rPr>
        <w:t>3. Grille de prise de notes</w:t>
      </w:r>
    </w:p>
    <w:p>
      <w:pPr>
        <w:spacing w:after="120"/>
      </w:pPr>
      <w:r>
        <w:rPr>
          <w:rFonts w:ascii="Georgia" w:hAnsi="Georgia"/>
          <w:b w:val="0"/>
          <w:color w:val="1A1D2E"/>
          <w:sz w:val="22"/>
        </w:rPr>
        <w:t>Pendant l'observation, prendre des notes selon les six dimensions ci-dessous. Une page par dimension permet de ne rien laisser de côté.</w:t>
      </w:r>
    </w:p>
    <w:p>
      <w:pPr>
        <w:spacing w:before="200" w:after="80"/>
      </w:pPr>
      <w:r>
        <w:rPr>
          <w:rFonts w:ascii="Arial" w:hAnsi="Arial"/>
          <w:b/>
          <w:color w:val="3366CC"/>
          <w:sz w:val="22"/>
        </w:rPr>
        <w:t>3.1. Tâches effectuées (chronologie)</w:t>
      </w:r>
    </w:p>
    <w:p>
      <w:pPr>
        <w:spacing w:after="120"/>
      </w:pPr>
      <w:r>
        <w:rPr>
          <w:rFonts w:ascii="Georgia" w:hAnsi="Georgia"/>
          <w:b w:val="0"/>
          <w:color w:val="1A1D2E"/>
          <w:sz w:val="20"/>
        </w:rPr>
        <w:t>Lister dans l'ordre les tâches réalisées avec horaires approximatifs. Repérer les tâches non prévues dans la fiche de poste, les interruptions, les changements de tâche imposés par l'extérieur.</w:t>
      </w:r>
    </w:p>
    <w:p>
      <w:pPr>
        <w:shd w:val="clear" w:color="auto" w:fill="E8F0FA"/>
        <w:spacing w:after="200"/>
        <w:ind w:left="170" w:right="170"/>
      </w:pPr>
      <w:r>
        <w:rPr>
          <w:rFonts w:ascii="Georgia" w:hAnsi="Georgia"/>
          <w:color w:val="5A607A"/>
          <w:sz w:val="20"/>
        </w:rPr>
        <w:t>Notes d'observation :</w:t>
        <w:br/>
        <w:br/>
        <w:br/>
        <w:br/>
      </w:r>
    </w:p>
    <w:p>
      <w:pPr>
        <w:spacing w:before="200" w:after="80"/>
      </w:pPr>
      <w:r>
        <w:rPr>
          <w:rFonts w:ascii="Arial" w:hAnsi="Arial"/>
          <w:b/>
          <w:color w:val="3366CC"/>
          <w:sz w:val="22"/>
        </w:rPr>
        <w:t>3.2. Charge cognitive et émotionnelle</w:t>
      </w:r>
    </w:p>
    <w:p>
      <w:pPr>
        <w:spacing w:after="120"/>
      </w:pPr>
      <w:r>
        <w:rPr>
          <w:rFonts w:ascii="Georgia" w:hAnsi="Georgia"/>
          <w:b w:val="0"/>
          <w:color w:val="1A1D2E"/>
          <w:sz w:val="20"/>
        </w:rPr>
        <w:t>Repérer les moments d'attention soutenue, les nombres de tâches simultanées (multitâche), les interactions avec un public en difficulté, les annonces de mauvaises nouvelles, les situations qui sollicitent émotionnellement.</w:t>
      </w:r>
    </w:p>
    <w:p>
      <w:pPr>
        <w:shd w:val="clear" w:color="auto" w:fill="E8F0FA"/>
        <w:spacing w:after="200"/>
        <w:ind w:left="170" w:right="170"/>
      </w:pPr>
      <w:r>
        <w:rPr>
          <w:rFonts w:ascii="Georgia" w:hAnsi="Georgia"/>
          <w:color w:val="5A607A"/>
          <w:sz w:val="20"/>
        </w:rPr>
        <w:t>Notes d'observation :</w:t>
        <w:br/>
        <w:br/>
        <w:br/>
        <w:br/>
      </w:r>
    </w:p>
    <w:p>
      <w:pPr>
        <w:spacing w:before="200" w:after="80"/>
      </w:pPr>
      <w:r>
        <w:rPr>
          <w:rFonts w:ascii="Arial" w:hAnsi="Arial"/>
          <w:b/>
          <w:color w:val="3366CC"/>
          <w:sz w:val="22"/>
        </w:rPr>
        <w:t>3.3. Autonomie et marges de manoeuvre</w:t>
      </w:r>
    </w:p>
    <w:p>
      <w:pPr>
        <w:spacing w:after="120"/>
      </w:pPr>
      <w:r>
        <w:rPr>
          <w:rFonts w:ascii="Georgia" w:hAnsi="Georgia"/>
          <w:b w:val="0"/>
          <w:color w:val="1A1D2E"/>
          <w:sz w:val="20"/>
        </w:rPr>
        <w:t>Noter les moments où le salarié peut décider de l'ordre, du rythme ou de la méthode. Noter à l'inverse les moments où il est contraint (planning, logiciel, hiérarchie, public). Repérer les ajustements informels qu'il met en place pour faire son travail.</w:t>
      </w:r>
    </w:p>
    <w:p>
      <w:pPr>
        <w:shd w:val="clear" w:color="auto" w:fill="E8F0FA"/>
        <w:spacing w:after="200"/>
        <w:ind w:left="170" w:right="170"/>
      </w:pPr>
      <w:r>
        <w:rPr>
          <w:rFonts w:ascii="Georgia" w:hAnsi="Georgia"/>
          <w:color w:val="5A607A"/>
          <w:sz w:val="20"/>
        </w:rPr>
        <w:t>Notes d'observation :</w:t>
        <w:br/>
        <w:br/>
        <w:br/>
        <w:br/>
      </w:r>
    </w:p>
    <w:p>
      <w:pPr>
        <w:spacing w:before="200" w:after="80"/>
      </w:pPr>
      <w:r>
        <w:rPr>
          <w:rFonts w:ascii="Arial" w:hAnsi="Arial"/>
          <w:b/>
          <w:color w:val="3366CC"/>
          <w:sz w:val="22"/>
        </w:rPr>
        <w:t>3.4. Rapports sociaux et coopération</w:t>
      </w:r>
    </w:p>
    <w:p>
      <w:pPr>
        <w:spacing w:after="120"/>
      </w:pPr>
      <w:r>
        <w:rPr>
          <w:rFonts w:ascii="Georgia" w:hAnsi="Georgia"/>
          <w:b w:val="0"/>
          <w:color w:val="1A1D2E"/>
          <w:sz w:val="20"/>
        </w:rPr>
        <w:t>Observer les interactions avec les collègues, l'encadrement, le public. Noter les sollicitations d'aide, les conflits, les moments de coopération informelle, l'absence ou la présence d'espaces de discussion.</w:t>
      </w:r>
    </w:p>
    <w:p>
      <w:pPr>
        <w:shd w:val="clear" w:color="auto" w:fill="E8F0FA"/>
        <w:spacing w:after="200"/>
        <w:ind w:left="170" w:right="170"/>
      </w:pPr>
      <w:r>
        <w:rPr>
          <w:rFonts w:ascii="Georgia" w:hAnsi="Georgia"/>
          <w:color w:val="5A607A"/>
          <w:sz w:val="20"/>
        </w:rPr>
        <w:t>Notes d'observation :</w:t>
        <w:br/>
        <w:br/>
        <w:br/>
        <w:br/>
      </w:r>
    </w:p>
    <w:p>
      <w:pPr>
        <w:spacing w:before="200" w:after="80"/>
      </w:pPr>
      <w:r>
        <w:rPr>
          <w:rFonts w:ascii="Arial" w:hAnsi="Arial"/>
          <w:b/>
          <w:color w:val="3366CC"/>
          <w:sz w:val="22"/>
        </w:rPr>
        <w:t>3.5. Qualité empêchée et conflits de valeurs</w:t>
      </w:r>
    </w:p>
    <w:p>
      <w:pPr>
        <w:spacing w:after="120"/>
      </w:pPr>
      <w:r>
        <w:rPr>
          <w:rFonts w:ascii="Georgia" w:hAnsi="Georgia"/>
          <w:b w:val="0"/>
          <w:color w:val="1A1D2E"/>
          <w:sz w:val="20"/>
        </w:rPr>
        <w:t>Noter les moments où le salarié exprime de la frustration sur la qualité de son travail (signes verbaux ou non verbaux : soupirs, commentaires, expressions). Noter les arbitrages explicites entre quantité et qualité, ou entre exigences contradictoires.</w:t>
      </w:r>
    </w:p>
    <w:p>
      <w:pPr>
        <w:shd w:val="clear" w:color="auto" w:fill="E8F0FA"/>
        <w:spacing w:after="200"/>
        <w:ind w:left="170" w:right="170"/>
      </w:pPr>
      <w:r>
        <w:rPr>
          <w:rFonts w:ascii="Georgia" w:hAnsi="Georgia"/>
          <w:color w:val="5A607A"/>
          <w:sz w:val="20"/>
        </w:rPr>
        <w:t>Notes d'observation :</w:t>
        <w:br/>
        <w:br/>
        <w:br/>
        <w:br/>
      </w:r>
    </w:p>
    <w:p>
      <w:pPr>
        <w:spacing w:before="200" w:after="80"/>
      </w:pPr>
      <w:r>
        <w:rPr>
          <w:rFonts w:ascii="Arial" w:hAnsi="Arial"/>
          <w:b/>
          <w:color w:val="3366CC"/>
          <w:sz w:val="22"/>
        </w:rPr>
        <w:t>3.6. Environnement et conditions physiques</w:t>
      </w:r>
    </w:p>
    <w:p>
      <w:pPr>
        <w:spacing w:after="120"/>
      </w:pPr>
      <w:r>
        <w:rPr>
          <w:rFonts w:ascii="Georgia" w:hAnsi="Georgia"/>
          <w:b w:val="0"/>
          <w:color w:val="1A1D2E"/>
          <w:sz w:val="20"/>
        </w:rPr>
        <w:t>Repérer les éléments du contexte physique qui pèsent : bruit, espace, ergonomie du poste, températures, interruptions. Noter les outils défaillants, les logiciels lents ou peu ergonomiques.</w:t>
      </w:r>
    </w:p>
    <w:p>
      <w:pPr>
        <w:shd w:val="clear" w:color="auto" w:fill="E8F0FA"/>
        <w:spacing w:after="200"/>
        <w:ind w:left="170" w:right="170"/>
      </w:pPr>
      <w:r>
        <w:rPr>
          <w:rFonts w:ascii="Georgia" w:hAnsi="Georgia"/>
          <w:color w:val="5A607A"/>
          <w:sz w:val="20"/>
        </w:rPr>
        <w:t>Notes d'observation :</w:t>
        <w:br/>
        <w:br/>
        <w:br/>
        <w:br/>
      </w:r>
    </w:p>
    <w:p>
      <w:pPr>
        <w:spacing w:before="360" w:after="200"/>
      </w:pPr>
      <w:r>
        <w:rPr>
          <w:rFonts w:ascii="Arial" w:hAnsi="Arial"/>
          <w:b/>
          <w:color w:val="002FA7"/>
          <w:sz w:val="36"/>
        </w:rPr>
        <w:t>4. Restitution et discussion post-observation</w:t>
      </w:r>
    </w:p>
    <w:p>
      <w:pPr>
        <w:spacing w:after="120"/>
      </w:pPr>
      <w:r>
        <w:rPr>
          <w:rFonts w:ascii="Georgia" w:hAnsi="Georgia"/>
          <w:b w:val="0"/>
          <w:color w:val="1A1D2E"/>
          <w:sz w:val="22"/>
        </w:rPr>
        <w:t>Immédiatement après l'observation, prévoir un temps d'échange de quinze à trente minutes avec le salarié observé. L'objectif est triple : valider les observations, recueillir le point de vue du salarié sur ce qu'il a vécu, et identifier ensemble les éléments à remonter dans le DUERP-RPS.</w:t>
      </w:r>
    </w:p>
    <w:p>
      <w:pPr>
        <w:spacing w:after="120"/>
      </w:pPr>
      <w:r>
        <w:rPr>
          <w:rFonts w:ascii="Georgia" w:hAnsi="Georgia"/>
          <w:b w:val="0"/>
          <w:color w:val="1A1D2E"/>
          <w:sz w:val="22"/>
        </w:rPr>
        <w:t>Questions d'amorce : Qu'est-ce qui m'a marqué que je devrais comprendre mieux ? Y a-t-il des choses que je n'ai pas vues parce qu'elles ne sont pas arrivées aujourd'hui ? Selon vous, qu'est-ce qui pèse le plus dans votre travail ?</w:t>
      </w:r>
    </w:p>
    <w:p>
      <w:pPr>
        <w:shd w:val="clear" w:color="auto" w:fill="E8F0FA"/>
        <w:spacing w:before="120" w:after="200"/>
        <w:ind w:left="170"/>
      </w:pPr>
      <w:r>
        <w:rPr>
          <w:rFonts w:ascii="Arial" w:hAnsi="Arial"/>
          <w:b/>
          <w:color w:val="002FA7"/>
          <w:sz w:val="20"/>
        </w:rPr>
        <w:t xml:space="preserve">Confidentialité : </w:t>
      </w:r>
      <w:r>
        <w:rPr>
          <w:rFonts w:ascii="Georgia" w:hAnsi="Georgia"/>
          <w:color w:val="1A1D2E"/>
          <w:sz w:val="20"/>
        </w:rPr>
        <w:t>L'anonymisation des observations dans les comptes rendus consolidés est une exigence éthique et déontologique. Aucune phrase verbatim, aucune description suffisamment précise pour permettre l'identification, ne doit apparaître dans le DUERP-RPS final.</w:t>
      </w:r>
    </w:p>
    <w:p>
      <w:pPr>
        <w:spacing w:before="360" w:after="200"/>
      </w:pPr>
      <w:r>
        <w:rPr>
          <w:rFonts w:ascii="Arial" w:hAnsi="Arial"/>
          <w:b/>
          <w:color w:val="002FA7"/>
          <w:sz w:val="36"/>
        </w:rPr>
        <w:t>5. Pour aller plus loin</w:t>
      </w:r>
    </w:p>
    <w:p>
      <w:pPr>
        <w:spacing w:after="120"/>
      </w:pPr>
      <w:r>
        <w:rPr>
          <w:rFonts w:ascii="Georgia" w:hAnsi="Georgia"/>
          <w:b w:val="0"/>
          <w:color w:val="1A1D2E"/>
          <w:sz w:val="22"/>
        </w:rPr>
        <w:t>L'ouvrage Le guide complet RPS et QVCT, du diagnostic à l'action développe au chapitre 6 la méthodologie complète de l'observation du travail réel, ses limites et son articulation avec les autres méthodes (entretiens, questionnaires, groupes participatifs).</w:t>
      </w:r>
    </w:p>
    <w:sectPr w:rsidR="00FC693F" w:rsidRPr="0006063C" w:rsidSect="00034616">
      <w:headerReference w:type="default" r:id="rId9"/>
      <w:footerReference w:type="default" r:id="rId10"/>
      <w:pgSz w:w="12240" w:h="15840"/>
      <w:pgMar w:top="1134" w:right="1134" w:bottom="1134" w:left="1134"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i/>
        <w:color w:val="5A607A"/>
        <w:sz w:val="16"/>
      </w:rPr>
      <w:t>psychologiedutravail.org · Kit DUERP-RPS · Outil gratuit</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Bdr>
        <w:bottom w:val="single" w:sz="8" w:color="002FA7"/>
      </w:pBdr>
    </w:pPr>
  </w:p>
  <w:tbl>
    <w:tblPr>
      <w:tblW w:type="auto" w:w="0"/>
      <w:tblLook w:firstColumn="1" w:firstRow="1" w:lastColumn="0" w:lastRow="0" w:noHBand="0" w:noVBand="1" w:val="04A0"/>
    </w:tblPr>
    <w:tblGrid>
      <w:gridCol w:w="4819"/>
      <w:gridCol w:w="4819"/>
    </w:tblGrid>
    <w:tr>
      <w:tc>
        <w:tcPr>
          <w:tcW w:type="dxa" w:w="4819"/>
        </w:tcPr>
        <w:p>
          <w:r/>
          <w:r>
            <w:rPr>
              <w:rFonts w:ascii="Arial" w:hAnsi="Arial"/>
              <w:b/>
              <w:color w:val="002FA7"/>
              <w:sz w:val="18"/>
            </w:rPr>
            <w:t>Ψ  Anthony Moulin · Psychologue du travail</w:t>
          </w:r>
        </w:p>
      </w:tc>
      <w:tc>
        <w:tcPr>
          <w:tcW w:type="dxa" w:w="4819"/>
        </w:tcPr>
        <w:p>
          <w:pPr>
            <w:jc w:val="right"/>
          </w:pPr>
          <w:r/>
          <w:r>
            <w:rPr>
              <w:rFonts w:ascii="Arial" w:hAnsi="Arial"/>
              <w:b w:val="0"/>
              <w:color w:val="5A607A"/>
              <w:sz w:val="18"/>
            </w:rPr>
            <w:t>Outil 5 · Observation TR</w:t>
          </w:r>
        </w:p>
      </w:tc>
    </w:tr>
  </w:tbl>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