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002FA7"/>
          <w:sz w:val="36"/>
          <w:szCs w:val="36"/>
        </w:rPr>
        <w:t xml:space="preserve">Grille de repérage des six familles de facteurs psychosociaux</w:t>
      </w:r>
    </w:p>
    <w:p>
      <w:pPr>
        <w:spacing w:after="240" w:before="0"/>
        <w:jc w:val="center"/>
      </w:pPr>
      <w:r>
        <w:rPr>
          <w:rFonts w:ascii="Georgia" w:cs="Georgia" w:eastAsia="Georgia" w:hAnsi="Georgia"/>
          <w:i/>
          <w:iCs/>
          <w:color w:val="5A607A"/>
          <w:sz w:val="22"/>
          <w:szCs w:val="22"/>
        </w:rPr>
        <w:t xml:space="preserve">d'après le rapport Gollac et Bodier (2011) — Ressource pour l'évaluation des RPS dans le DUERP</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700"/>
        <w:gridCol w:w="2400"/>
        <w:gridCol w:w="3200"/>
        <w:gridCol w:w="2900"/>
        <w:gridCol w:w="2200"/>
        <w:gridCol w:w="3278"/>
      </w:tblGrid>
      <w:tr>
        <w:trPr>
          <w:tblHeader/>
        </w:trPr>
        <w:tc>
          <w:tcPr>
            <w:tcW w:type="dxa" w:w="700"/>
            <w:tcBorders>
              <w:top w:val="single" w:color="002FA7" w:sz="8"/>
              <w:left w:val="single" w:color="002FA7" w:sz="8"/>
              <w:bottom w:val="single" w:color="002FA7" w:sz="8"/>
              <w:right w:val="single" w:color="002FA7" w:sz="8"/>
            </w:tcBorders>
            <w:shd w:fill="002FA7" w:val="clear"/>
            <w:tcMar>
              <w:top w:type="dxa" w:w="120"/>
              <w:left w:type="dxa" w:w="140"/>
              <w:bottom w:type="dxa" w:w="120"/>
              <w:right w:type="dxa" w:w="140"/>
            </w:tcMar>
          </w:tcPr>
          <w:p>
            <w:pPr>
              <w:jc w:val="left"/>
            </w:pPr>
            <w:r>
              <w:rPr>
                <w:rFonts w:ascii="Arial" w:cs="Arial" w:eastAsia="Arial" w:hAnsi="Arial"/>
                <w:b/>
                <w:bCs/>
                <w:color w:val="FFFFFF"/>
                <w:sz w:val="22"/>
                <w:szCs w:val="22"/>
              </w:rPr>
              <w:t xml:space="preserve">N°</w:t>
            </w:r>
          </w:p>
        </w:tc>
        <w:tc>
          <w:tcPr>
            <w:tcW w:type="dxa" w:w="2400"/>
            <w:tcBorders>
              <w:top w:val="single" w:color="002FA7" w:sz="8"/>
              <w:left w:val="single" w:color="002FA7" w:sz="8"/>
              <w:bottom w:val="single" w:color="002FA7" w:sz="8"/>
              <w:right w:val="single" w:color="002FA7" w:sz="8"/>
            </w:tcBorders>
            <w:shd w:fill="002FA7" w:val="clear"/>
            <w:tcMar>
              <w:top w:type="dxa" w:w="120"/>
              <w:left w:type="dxa" w:w="140"/>
              <w:bottom w:type="dxa" w:w="120"/>
              <w:right w:type="dxa" w:w="140"/>
            </w:tcMar>
          </w:tcPr>
          <w:p>
            <w:pPr>
              <w:jc w:val="left"/>
            </w:pPr>
            <w:r>
              <w:rPr>
                <w:rFonts w:ascii="Arial" w:cs="Arial" w:eastAsia="Arial" w:hAnsi="Arial"/>
                <w:b/>
                <w:bCs/>
                <w:color w:val="FFFFFF"/>
                <w:sz w:val="22"/>
                <w:szCs w:val="22"/>
              </w:rPr>
              <w:t xml:space="preserve">Famille de facteurs</w:t>
            </w:r>
          </w:p>
        </w:tc>
        <w:tc>
          <w:tcPr>
            <w:tcW w:type="dxa" w:w="3200"/>
            <w:tcBorders>
              <w:top w:val="single" w:color="002FA7" w:sz="8"/>
              <w:left w:val="single" w:color="002FA7" w:sz="8"/>
              <w:bottom w:val="single" w:color="002FA7" w:sz="8"/>
              <w:right w:val="single" w:color="002FA7" w:sz="8"/>
            </w:tcBorders>
            <w:shd w:fill="002FA7" w:val="clear"/>
            <w:tcMar>
              <w:top w:type="dxa" w:w="120"/>
              <w:left w:type="dxa" w:w="140"/>
              <w:bottom w:type="dxa" w:w="120"/>
              <w:right w:type="dxa" w:w="140"/>
            </w:tcMar>
          </w:tcPr>
          <w:p>
            <w:pPr>
              <w:jc w:val="left"/>
            </w:pPr>
            <w:r>
              <w:rPr>
                <w:rFonts w:ascii="Arial" w:cs="Arial" w:eastAsia="Arial" w:hAnsi="Arial"/>
                <w:b/>
                <w:bCs/>
                <w:color w:val="FFFFFF"/>
                <w:sz w:val="22"/>
                <w:szCs w:val="22"/>
              </w:rPr>
              <w:t xml:space="preserve">Définition opérationnelle</w:t>
            </w:r>
          </w:p>
        </w:tc>
        <w:tc>
          <w:tcPr>
            <w:tcW w:type="dxa" w:w="2900"/>
            <w:tcBorders>
              <w:top w:val="single" w:color="002FA7" w:sz="8"/>
              <w:left w:val="single" w:color="002FA7" w:sz="8"/>
              <w:bottom w:val="single" w:color="002FA7" w:sz="8"/>
              <w:right w:val="single" w:color="002FA7" w:sz="8"/>
            </w:tcBorders>
            <w:shd w:fill="002FA7" w:val="clear"/>
            <w:tcMar>
              <w:top w:type="dxa" w:w="120"/>
              <w:left w:type="dxa" w:w="140"/>
              <w:bottom w:type="dxa" w:w="120"/>
              <w:right w:type="dxa" w:w="140"/>
            </w:tcMar>
          </w:tcPr>
          <w:p>
            <w:pPr>
              <w:jc w:val="left"/>
            </w:pPr>
            <w:r>
              <w:rPr>
                <w:rFonts w:ascii="Arial" w:cs="Arial" w:eastAsia="Arial" w:hAnsi="Arial"/>
                <w:b/>
                <w:bCs/>
                <w:color w:val="FFFFFF"/>
                <w:sz w:val="22"/>
                <w:szCs w:val="22"/>
              </w:rPr>
              <w:t xml:space="preserve">Indicateurs concrets observables</w:t>
            </w:r>
          </w:p>
        </w:tc>
        <w:tc>
          <w:tcPr>
            <w:tcW w:type="dxa" w:w="2200"/>
            <w:tcBorders>
              <w:top w:val="single" w:color="002FA7" w:sz="8"/>
              <w:left w:val="single" w:color="002FA7" w:sz="8"/>
              <w:bottom w:val="single" w:color="002FA7" w:sz="8"/>
              <w:right w:val="single" w:color="002FA7" w:sz="8"/>
            </w:tcBorders>
            <w:shd w:fill="002FA7" w:val="clear"/>
            <w:tcMar>
              <w:top w:type="dxa" w:w="120"/>
              <w:left w:type="dxa" w:w="140"/>
              <w:bottom w:type="dxa" w:w="120"/>
              <w:right w:type="dxa" w:w="140"/>
            </w:tcMar>
          </w:tcPr>
          <w:p>
            <w:pPr>
              <w:jc w:val="left"/>
            </w:pPr>
            <w:r>
              <w:rPr>
                <w:rFonts w:ascii="Arial" w:cs="Arial" w:eastAsia="Arial" w:hAnsi="Arial"/>
                <w:b/>
                <w:bCs/>
                <w:color w:val="FFFFFF"/>
                <w:sz w:val="22"/>
                <w:szCs w:val="22"/>
              </w:rPr>
              <w:t xml:space="preserve">Cadre théorique</w:t>
            </w:r>
          </w:p>
        </w:tc>
        <w:tc>
          <w:tcPr>
            <w:tcW w:type="dxa" w:w="3278"/>
            <w:tcBorders>
              <w:top w:val="single" w:color="002FA7" w:sz="8"/>
              <w:left w:val="single" w:color="002FA7" w:sz="8"/>
              <w:bottom w:val="single" w:color="002FA7" w:sz="8"/>
              <w:right w:val="single" w:color="002FA7" w:sz="8"/>
            </w:tcBorders>
            <w:shd w:fill="002FA7" w:val="clear"/>
            <w:tcMar>
              <w:top w:type="dxa" w:w="120"/>
              <w:left w:type="dxa" w:w="140"/>
              <w:bottom w:type="dxa" w:w="120"/>
              <w:right w:type="dxa" w:w="140"/>
            </w:tcMar>
          </w:tcPr>
          <w:p>
            <w:pPr>
              <w:jc w:val="left"/>
            </w:pPr>
            <w:r>
              <w:rPr>
                <w:rFonts w:ascii="Arial" w:cs="Arial" w:eastAsia="Arial" w:hAnsi="Arial"/>
                <w:b/>
                <w:bCs/>
                <w:color w:val="FFFFFF"/>
                <w:sz w:val="22"/>
                <w:szCs w:val="22"/>
              </w:rPr>
              <w:t xml:space="preserve">Questions d'amorce pour l'équipe</w:t>
            </w:r>
          </w:p>
        </w:tc>
      </w:tr>
      <w:tr>
        <w:tc>
          <w:tcPr>
            <w:tcW w:type="dxa" w:w="700"/>
            <w:tcBorders>
              <w:top w:val="single" w:color="AAAAAA" w:sz="4"/>
              <w:left w:val="single" w:color="AAAAAA" w:sz="4"/>
              <w:bottom w:val="single" w:color="AAAAAA" w:sz="4"/>
              <w:right w:val="single" w:color="AAAAAA" w:sz="4"/>
            </w:tcBorders>
            <w:shd w:fill="002FA7" w:val="clear"/>
            <w:tcMar>
              <w:top w:type="dxa" w:w="100"/>
              <w:left w:type="dxa" w:w="120"/>
              <w:bottom w:type="dxa" w:w="100"/>
              <w:right w:type="dxa" w:w="120"/>
            </w:tcMar>
          </w:tcPr>
          <w:p>
            <w:pPr>
              <w:spacing w:line="280"/>
              <w:jc w:val="left"/>
            </w:pPr>
            <w:r>
              <w:rPr>
                <w:rFonts w:ascii="Arial" w:cs="Arial" w:eastAsia="Arial" w:hAnsi="Arial"/>
                <w:b/>
                <w:bCs/>
                <w:i w:val="false"/>
                <w:iCs w:val="false"/>
                <w:color w:val="FFFFFF"/>
                <w:sz w:val="28"/>
                <w:szCs w:val="28"/>
              </w:rPr>
              <w:t xml:space="preserve">1</w:t>
            </w:r>
          </w:p>
        </w:tc>
        <w:tc>
          <w:tcPr>
            <w:tcW w:type="dxa" w:w="24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Arial" w:cs="Arial" w:eastAsia="Arial" w:hAnsi="Arial"/>
                <w:b/>
                <w:bCs/>
                <w:i w:val="false"/>
                <w:iCs w:val="false"/>
                <w:color w:val="002FA7"/>
                <w:sz w:val="20"/>
                <w:szCs w:val="20"/>
              </w:rPr>
              <w:t xml:space="preserve">Intensité du travail et temps de travail</w:t>
            </w:r>
          </w:p>
        </w:tc>
        <w:tc>
          <w:tcPr>
            <w:tcW w:type="dxa" w:w="32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Ce que le travail demande en quantité et en rythme. Charge quantitative, pression temporelle, interruptions, polyvalence, horaires, porosité vie professionnelle vie personnelle.</w:t>
            </w:r>
          </w:p>
        </w:tc>
        <w:tc>
          <w:tcPr>
            <w:tcW w:type="dxa" w:w="29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Heures supplémentaires, dépassements, interruptions fréquentes, plannings tenus, congés non pris, déclarations de manque de temps.</w:t>
            </w:r>
          </w:p>
        </w:tc>
        <w:tc>
          <w:tcPr>
            <w:tcW w:type="dxa" w:w="22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5A607A"/>
                <w:sz w:val="19"/>
                <w:szCs w:val="19"/>
              </w:rPr>
              <w:t xml:space="preserve">Karasek et Theorell, demande psychologique du modèle demande-contrôle-soutien (1990).</w:t>
            </w:r>
          </w:p>
        </w:tc>
        <w:tc>
          <w:tcPr>
            <w:tcW w:type="dxa" w:w="3278"/>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1A47B8"/>
                <w:sz w:val="19"/>
                <w:szCs w:val="19"/>
              </w:rPr>
              <w:t xml:space="preserve">Décrivez une journée type. À quels moments avez-vous le sentiment de manquer de temps ? Que faites-vous lorsque cela arrive ?</w:t>
            </w:r>
          </w:p>
        </w:tc>
      </w:tr>
      <w:tr>
        <w:tc>
          <w:tcPr>
            <w:tcW w:type="dxa" w:w="700"/>
            <w:tcBorders>
              <w:top w:val="single" w:color="AAAAAA" w:sz="4"/>
              <w:left w:val="single" w:color="AAAAAA" w:sz="4"/>
              <w:bottom w:val="single" w:color="AAAAAA" w:sz="4"/>
              <w:right w:val="single" w:color="AAAAAA" w:sz="4"/>
            </w:tcBorders>
            <w:shd w:fill="1A47B8" w:val="clear"/>
            <w:tcMar>
              <w:top w:type="dxa" w:w="100"/>
              <w:left w:type="dxa" w:w="120"/>
              <w:bottom w:type="dxa" w:w="100"/>
              <w:right w:type="dxa" w:w="120"/>
            </w:tcMar>
          </w:tcPr>
          <w:p>
            <w:pPr>
              <w:spacing w:line="280"/>
              <w:jc w:val="left"/>
            </w:pPr>
            <w:r>
              <w:rPr>
                <w:rFonts w:ascii="Arial" w:cs="Arial" w:eastAsia="Arial" w:hAnsi="Arial"/>
                <w:b/>
                <w:bCs/>
                <w:i w:val="false"/>
                <w:iCs w:val="false"/>
                <w:color w:val="FFFFFF"/>
                <w:sz w:val="28"/>
                <w:szCs w:val="28"/>
              </w:rPr>
              <w:t xml:space="preserve">2</w:t>
            </w:r>
          </w:p>
        </w:tc>
        <w:tc>
          <w:tcPr>
            <w:tcW w:type="dxa" w:w="24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Arial" w:cs="Arial" w:eastAsia="Arial" w:hAnsi="Arial"/>
                <w:b/>
                <w:bCs/>
                <w:i w:val="false"/>
                <w:iCs w:val="false"/>
                <w:color w:val="002FA7"/>
                <w:sz w:val="20"/>
                <w:szCs w:val="20"/>
              </w:rPr>
              <w:t xml:space="preserve">Exigences émotionnelles</w:t>
            </w:r>
          </w:p>
        </w:tc>
        <w:tc>
          <w:tcPr>
            <w:tcW w:type="dxa" w:w="32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Ce que le travail demande sur le plan affectif. Contact avec la souffrance, travail émotionnel, gestion de conflits et incivilités, charge morale.</w:t>
            </w:r>
          </w:p>
        </w:tc>
        <w:tc>
          <w:tcPr>
            <w:tcW w:type="dxa" w:w="29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Fréquence des contacts difficiles, nécessité de masquer ses émotions, exposition aux violences verbales, signalements médicaux liés au stress.</w:t>
            </w:r>
          </w:p>
        </w:tc>
        <w:tc>
          <w:tcPr>
            <w:tcW w:type="dxa" w:w="22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5A607A"/>
                <w:sz w:val="19"/>
                <w:szCs w:val="19"/>
              </w:rPr>
              <w:t xml:space="preserve">Hochschild, travail émotionnel (1983). Dejours, psychodynamique du travail.</w:t>
            </w:r>
          </w:p>
        </w:tc>
        <w:tc>
          <w:tcPr>
            <w:tcW w:type="dxa" w:w="3278"/>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1A47B8"/>
                <w:sz w:val="19"/>
                <w:szCs w:val="19"/>
              </w:rPr>
              <w:t xml:space="preserve">Qu'est-ce qui est le plus difficile à porter dans votre travail ? Comment faites-vous pour tenir face à ces situations ? Que se passe-t-il ensuite chez vous ?</w:t>
            </w:r>
          </w:p>
        </w:tc>
      </w:tr>
      <w:tr>
        <w:tc>
          <w:tcPr>
            <w:tcW w:type="dxa" w:w="700"/>
            <w:tcBorders>
              <w:top w:val="single" w:color="AAAAAA" w:sz="4"/>
              <w:left w:val="single" w:color="AAAAAA" w:sz="4"/>
              <w:bottom w:val="single" w:color="AAAAAA" w:sz="4"/>
              <w:right w:val="single" w:color="AAAAAA" w:sz="4"/>
            </w:tcBorders>
            <w:shd w:fill="3366CC" w:val="clear"/>
            <w:tcMar>
              <w:top w:type="dxa" w:w="100"/>
              <w:left w:type="dxa" w:w="120"/>
              <w:bottom w:type="dxa" w:w="100"/>
              <w:right w:type="dxa" w:w="120"/>
            </w:tcMar>
          </w:tcPr>
          <w:p>
            <w:pPr>
              <w:spacing w:line="280"/>
              <w:jc w:val="left"/>
            </w:pPr>
            <w:r>
              <w:rPr>
                <w:rFonts w:ascii="Arial" w:cs="Arial" w:eastAsia="Arial" w:hAnsi="Arial"/>
                <w:b/>
                <w:bCs/>
                <w:i w:val="false"/>
                <w:iCs w:val="false"/>
                <w:color w:val="FFFFFF"/>
                <w:sz w:val="28"/>
                <w:szCs w:val="28"/>
              </w:rPr>
              <w:t xml:space="preserve">3</w:t>
            </w:r>
          </w:p>
        </w:tc>
        <w:tc>
          <w:tcPr>
            <w:tcW w:type="dxa" w:w="24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Arial" w:cs="Arial" w:eastAsia="Arial" w:hAnsi="Arial"/>
                <w:b/>
                <w:bCs/>
                <w:i w:val="false"/>
                <w:iCs w:val="false"/>
                <w:color w:val="002FA7"/>
                <w:sz w:val="20"/>
                <w:szCs w:val="20"/>
              </w:rPr>
              <w:t xml:space="preserve">Manque d'autonomie et sous-utilisation des compétences</w:t>
            </w:r>
          </w:p>
        </w:tc>
        <w:tc>
          <w:tcPr>
            <w:tcW w:type="dxa" w:w="32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Marges de manoeuvre dans la conduite du travail. Latitude décisionnelle, prévisibilité, possibilité de mobiliser et développer ses compétences.</w:t>
            </w:r>
          </w:p>
        </w:tc>
        <w:tc>
          <w:tcPr>
            <w:tcW w:type="dxa" w:w="29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Procédures rigides, contrôles fréquents, écart prescrit-réel, sentiment de ne pas pouvoir bien faire, sous-utilisation perçue des compétences.</w:t>
            </w:r>
          </w:p>
        </w:tc>
        <w:tc>
          <w:tcPr>
            <w:tcW w:type="dxa" w:w="22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5A607A"/>
                <w:sz w:val="19"/>
                <w:szCs w:val="19"/>
              </w:rPr>
              <w:t xml:space="preserve">Karasek, latitude décisionnelle. Clot, qualité empêchée et travail empêché (2008).</w:t>
            </w:r>
          </w:p>
        </w:tc>
        <w:tc>
          <w:tcPr>
            <w:tcW w:type="dxa" w:w="3278"/>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1A47B8"/>
                <w:sz w:val="19"/>
                <w:szCs w:val="19"/>
              </w:rPr>
              <w:t xml:space="preserve">Sur quoi avez-vous des marges de décision dans votre travail ? Y a-t-il des choses que vous savez faire mais que vous ne pouvez pas faire ici ?</w:t>
            </w:r>
          </w:p>
        </w:tc>
      </w:tr>
      <w:tr>
        <w:tc>
          <w:tcPr>
            <w:tcW w:type="dxa" w:w="700"/>
            <w:tcBorders>
              <w:top w:val="single" w:color="AAAAAA" w:sz="4"/>
              <w:left w:val="single" w:color="AAAAAA" w:sz="4"/>
              <w:bottom w:val="single" w:color="AAAAAA" w:sz="4"/>
              <w:right w:val="single" w:color="AAAAAA" w:sz="4"/>
            </w:tcBorders>
            <w:shd w:fill="6050DC" w:val="clear"/>
            <w:tcMar>
              <w:top w:type="dxa" w:w="100"/>
              <w:left w:type="dxa" w:w="120"/>
              <w:bottom w:type="dxa" w:w="100"/>
              <w:right w:type="dxa" w:w="120"/>
            </w:tcMar>
          </w:tcPr>
          <w:p>
            <w:pPr>
              <w:spacing w:line="280"/>
              <w:jc w:val="left"/>
            </w:pPr>
            <w:r>
              <w:rPr>
                <w:rFonts w:ascii="Arial" w:cs="Arial" w:eastAsia="Arial" w:hAnsi="Arial"/>
                <w:b/>
                <w:bCs/>
                <w:i w:val="false"/>
                <w:iCs w:val="false"/>
                <w:color w:val="FFFFFF"/>
                <w:sz w:val="28"/>
                <w:szCs w:val="28"/>
              </w:rPr>
              <w:t xml:space="preserve">4</w:t>
            </w:r>
          </w:p>
        </w:tc>
        <w:tc>
          <w:tcPr>
            <w:tcW w:type="dxa" w:w="24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Arial" w:cs="Arial" w:eastAsia="Arial" w:hAnsi="Arial"/>
                <w:b/>
                <w:bCs/>
                <w:i w:val="false"/>
                <w:iCs w:val="false"/>
                <w:color w:val="002FA7"/>
                <w:sz w:val="20"/>
                <w:szCs w:val="20"/>
              </w:rPr>
              <w:t xml:space="preserve">Rapports sociaux dégradés</w:t>
            </w:r>
          </w:p>
        </w:tc>
        <w:tc>
          <w:tcPr>
            <w:tcW w:type="dxa" w:w="32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Qualité des relations dans le collectif. Soutien social, reconnaissance, justice organisationnelle, violences internes.</w:t>
            </w:r>
          </w:p>
        </w:tc>
        <w:tc>
          <w:tcPr>
            <w:tcW w:type="dxa" w:w="29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Disponibilité réelle des collègues et de la hiérarchie, reconnaissance perçue, conflits internes, signalements de harcèlement, sentiment d'iniquité.</w:t>
            </w:r>
          </w:p>
        </w:tc>
        <w:tc>
          <w:tcPr>
            <w:tcW w:type="dxa" w:w="22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5A607A"/>
                <w:sz w:val="19"/>
                <w:szCs w:val="19"/>
              </w:rPr>
              <w:t xml:space="preserve">Siegrist, modèle effort-récompense (1996). Dejours, reconnaissance comme jugement.</w:t>
            </w:r>
          </w:p>
        </w:tc>
        <w:tc>
          <w:tcPr>
            <w:tcW w:type="dxa" w:w="3278"/>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1A47B8"/>
                <w:sz w:val="19"/>
                <w:szCs w:val="19"/>
              </w:rPr>
              <w:t xml:space="preserve">À qui pouvez-vous demander de l'aide quand vous êtes en difficulté ? Comment savez-vous que votre travail est apprécié ? Y a-t-il des conflits dans l'équipe ?</w:t>
            </w:r>
          </w:p>
        </w:tc>
      </w:tr>
      <w:tr>
        <w:tc>
          <w:tcPr>
            <w:tcW w:type="dxa" w:w="700"/>
            <w:tcBorders>
              <w:top w:val="single" w:color="AAAAAA" w:sz="4"/>
              <w:left w:val="single" w:color="AAAAAA" w:sz="4"/>
              <w:bottom w:val="single" w:color="AAAAAA" w:sz="4"/>
              <w:right w:val="single" w:color="AAAAAA" w:sz="4"/>
            </w:tcBorders>
            <w:shd w:fill="8B7FE8" w:val="clear"/>
            <w:tcMar>
              <w:top w:type="dxa" w:w="100"/>
              <w:left w:type="dxa" w:w="120"/>
              <w:bottom w:type="dxa" w:w="100"/>
              <w:right w:type="dxa" w:w="120"/>
            </w:tcMar>
          </w:tcPr>
          <w:p>
            <w:pPr>
              <w:spacing w:line="280"/>
              <w:jc w:val="left"/>
            </w:pPr>
            <w:r>
              <w:rPr>
                <w:rFonts w:ascii="Arial" w:cs="Arial" w:eastAsia="Arial" w:hAnsi="Arial"/>
                <w:b/>
                <w:bCs/>
                <w:i w:val="false"/>
                <w:iCs w:val="false"/>
                <w:color w:val="FFFFFF"/>
                <w:sz w:val="28"/>
                <w:szCs w:val="28"/>
              </w:rPr>
              <w:t xml:space="preserve">5</w:t>
            </w:r>
          </w:p>
        </w:tc>
        <w:tc>
          <w:tcPr>
            <w:tcW w:type="dxa" w:w="24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Arial" w:cs="Arial" w:eastAsia="Arial" w:hAnsi="Arial"/>
                <w:b/>
                <w:bCs/>
                <w:i w:val="false"/>
                <w:iCs w:val="false"/>
                <w:color w:val="002FA7"/>
                <w:sz w:val="20"/>
                <w:szCs w:val="20"/>
              </w:rPr>
              <w:t xml:space="preserve">Conflits de valeurs</w:t>
            </w:r>
          </w:p>
        </w:tc>
        <w:tc>
          <w:tcPr>
            <w:tcW w:type="dxa" w:w="32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Situations où l'on est conduit à agir contre ses valeurs professionnelles ou éthiques. Souffrance éthique, qualité empêchée, dissonance entre prescription et conviction.</w:t>
            </w:r>
          </w:p>
        </w:tc>
        <w:tc>
          <w:tcPr>
            <w:tcW w:type="dxa" w:w="29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Sentiment de mal faire son travail, contradictions perçues entre commande et qualité, démissions de professionnels expérimentés, refus de promotion.</w:t>
            </w:r>
          </w:p>
        </w:tc>
        <w:tc>
          <w:tcPr>
            <w:tcW w:type="dxa" w:w="2200"/>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5A607A"/>
                <w:sz w:val="19"/>
                <w:szCs w:val="19"/>
              </w:rPr>
              <w:t xml:space="preserve">Dejours, souffrance éthique (2009). Clot, qualité empêchée et travail empêché.</w:t>
            </w:r>
          </w:p>
        </w:tc>
        <w:tc>
          <w:tcPr>
            <w:tcW w:type="dxa" w:w="3278"/>
            <w:tcBorders>
              <w:top w:val="single" w:color="AAAAAA" w:sz="4"/>
              <w:left w:val="single" w:color="AAAAAA" w:sz="4"/>
              <w:bottom w:val="single" w:color="AAAAAA" w:sz="4"/>
              <w:right w:val="single" w:color="AAAAAA" w:sz="4"/>
            </w:tcBorders>
            <w:shd w:fill="E8F0FA"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1A47B8"/>
                <w:sz w:val="19"/>
                <w:szCs w:val="19"/>
              </w:rPr>
              <w:t xml:space="preserve">Que considérez-vous comme un travail bien fait dans votre métier ? Avez-vous le sentiment de pouvoir le faire ici ? Qu'est-ce qui vous en empêche ?</w:t>
            </w:r>
          </w:p>
        </w:tc>
      </w:tr>
      <w:tr>
        <w:tc>
          <w:tcPr>
            <w:tcW w:type="dxa" w:w="700"/>
            <w:tcBorders>
              <w:top w:val="single" w:color="AAAAAA" w:sz="4"/>
              <w:left w:val="single" w:color="AAAAAA" w:sz="4"/>
              <w:bottom w:val="single" w:color="AAAAAA" w:sz="4"/>
              <w:right w:val="single" w:color="AAAAAA" w:sz="4"/>
            </w:tcBorders>
            <w:shd w:fill="002FA7" w:val="clear"/>
            <w:tcMar>
              <w:top w:type="dxa" w:w="100"/>
              <w:left w:type="dxa" w:w="120"/>
              <w:bottom w:type="dxa" w:w="100"/>
              <w:right w:type="dxa" w:w="120"/>
            </w:tcMar>
          </w:tcPr>
          <w:p>
            <w:pPr>
              <w:spacing w:line="280"/>
              <w:jc w:val="left"/>
            </w:pPr>
            <w:r>
              <w:rPr>
                <w:rFonts w:ascii="Arial" w:cs="Arial" w:eastAsia="Arial" w:hAnsi="Arial"/>
                <w:b/>
                <w:bCs/>
                <w:i w:val="false"/>
                <w:iCs w:val="false"/>
                <w:color w:val="FFFFFF"/>
                <w:sz w:val="28"/>
                <w:szCs w:val="28"/>
              </w:rPr>
              <w:t xml:space="preserve">6</w:t>
            </w:r>
          </w:p>
        </w:tc>
        <w:tc>
          <w:tcPr>
            <w:tcW w:type="dxa" w:w="24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Arial" w:cs="Arial" w:eastAsia="Arial" w:hAnsi="Arial"/>
                <w:b/>
                <w:bCs/>
                <w:i w:val="false"/>
                <w:iCs w:val="false"/>
                <w:color w:val="002FA7"/>
                <w:sz w:val="20"/>
                <w:szCs w:val="20"/>
              </w:rPr>
              <w:t xml:space="preserve">Insécurité socio-économique</w:t>
            </w:r>
          </w:p>
        </w:tc>
        <w:tc>
          <w:tcPr>
            <w:tcW w:type="dxa" w:w="32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Stabilité de la situation professionnelle. Insécurité de l'emploi, des trajectoires, des changements organisationnels mal accompagnés.</w:t>
            </w:r>
          </w:p>
        </w:tc>
        <w:tc>
          <w:tcPr>
            <w:tcW w:type="dxa" w:w="29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val="false"/>
                <w:iCs w:val="false"/>
                <w:color w:val="1A1D2E"/>
                <w:sz w:val="19"/>
                <w:szCs w:val="19"/>
              </w:rPr>
              <w:t xml:space="preserve">Précarité contractuelle, incertitude sur les évolutions, restructurations récentes, transformations technologiques mal accompagnées.</w:t>
            </w:r>
          </w:p>
        </w:tc>
        <w:tc>
          <w:tcPr>
            <w:tcW w:type="dxa" w:w="2200"/>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5A607A"/>
                <w:sz w:val="19"/>
                <w:szCs w:val="19"/>
              </w:rPr>
              <w:t xml:space="preserve">Rapport Gollac, sixième axe (2011). Travaux sur les restructurations (Pelletier 2014, Linhart 2017).</w:t>
            </w:r>
          </w:p>
        </w:tc>
        <w:tc>
          <w:tcPr>
            <w:tcW w:type="dxa" w:w="3278"/>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tcPr>
          <w:p>
            <w:pPr>
              <w:spacing w:line="280"/>
              <w:jc w:val="left"/>
            </w:pPr>
            <w:r>
              <w:rPr>
                <w:rFonts w:ascii="Georgia" w:cs="Georgia" w:eastAsia="Georgia" w:hAnsi="Georgia"/>
                <w:b w:val="false"/>
                <w:bCs w:val="false"/>
                <w:i/>
                <w:iCs/>
                <w:color w:val="1A47B8"/>
                <w:sz w:val="19"/>
                <w:szCs w:val="19"/>
              </w:rPr>
              <w:t xml:space="preserve">Comment voyez-vous votre situation professionnelle dans les deux ans à venir ? Quels changements vous préoccupent ? Comment êtes-vous accompagné dans ces changements ?</w:t>
            </w:r>
          </w:p>
        </w:tc>
      </w:tr>
    </w:tbl>
    <w:p>
      <w:pPr>
        <w:spacing w:after="60" w:before="240"/>
        <w:jc w:val="center"/>
      </w:pPr>
      <w:r>
        <w:rPr>
          <w:rFonts w:ascii="Arial" w:cs="Arial" w:eastAsia="Arial" w:hAnsi="Arial"/>
          <w:b/>
          <w:bCs/>
          <w:color w:val="002FA7"/>
          <w:sz w:val="22"/>
          <w:szCs w:val="22"/>
        </w:rPr>
        <w:t xml:space="preserve">Mode d'emploi</w:t>
      </w:r>
    </w:p>
    <w:p>
      <w:pPr>
        <w:spacing w:after="80" w:before="0" w:line="280"/>
        <w:jc w:val="both"/>
      </w:pPr>
      <w:r>
        <w:rPr>
          <w:rFonts w:ascii="Georgia" w:cs="Georgia" w:eastAsia="Georgia" w:hAnsi="Georgia"/>
          <w:color w:val="1A1D2E"/>
          <w:sz w:val="19"/>
          <w:szCs w:val="19"/>
        </w:rPr>
        <w:t xml:space="preserve">Cette grille sert de support de repérage rapide pour le préventeur ou le référent SSCT qui souhaite installer dans son organisation un vocabulaire commun sur les RPS. Elle peut être affichée dans le bureau du préventeur, distribuée aux membres du comité de pilotage, ou utilisée comme document de référence lors des ateliers participatifs. Les questions d'amorce de la dernière colonne peuvent ouvrir un échange en équipe sur le travail réel, en lien avec chaque famille de facteurs.</w:t>
      </w:r>
    </w:p>
    <w:p>
      <w:pPr>
        <w:spacing w:after="40" w:before="80" w:line="280"/>
        <w:jc w:val="both"/>
      </w:pPr>
      <w:r>
        <w:rPr>
          <w:rFonts w:ascii="Georgia" w:cs="Georgia" w:eastAsia="Georgia" w:hAnsi="Georgia"/>
          <w:color w:val="1A1D2E"/>
          <w:sz w:val="19"/>
          <w:szCs w:val="19"/>
        </w:rPr>
        <w:t xml:space="preserve">Pour la mise en oeuvre d'une démarche d'évaluation rigoureuse, se reporter à l'ouvrage DUERP-RPS en pratique, en particulier au chapitre 4 (Les six familles de facteurs Gollac : cadre conceptuel et opérationnel) qui développe chaque famille avec ses cadres théoriques, ses méthodes de repérage et ses configurations d'interaction.</w:t>
      </w:r>
    </w:p>
    <w:p>
      <w:pPr>
        <w:spacing w:after="0" w:before="200"/>
        <w:jc w:val="center"/>
      </w:pPr>
      <w:r>
        <w:rPr>
          <w:rFonts w:ascii="Arial" w:cs="Arial" w:eastAsia="Arial" w:hAnsi="Arial"/>
          <w:color w:val="002FA7"/>
          <w:sz w:val="18"/>
          <w:szCs w:val="18"/>
        </w:rPr>
        <w:t xml:space="preserve">Anthony Moulin · Psychologue du travail · </w:t>
      </w:r>
      <w:r>
        <w:rPr>
          <w:rFonts w:ascii="Arial" w:cs="Arial" w:eastAsia="Arial" w:hAnsi="Arial"/>
          <w:i/>
          <w:iCs/>
          <w:color w:val="002FA7"/>
          <w:sz w:val="18"/>
          <w:szCs w:val="18"/>
        </w:rPr>
        <w:t xml:space="preserve">psychologiedutravail.org/duerp-grille-six-familles</w:t>
      </w:r>
    </w:p>
    <w:sectPr>
      <w:pgSz w:w="16838" w:h="23814"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de repérage des six familles Gollac</dc:title>
  <dc:creator>Anthony Moulin</dc:creator>
  <cp:lastModifiedBy>Un-named</cp:lastModifiedBy>
  <cp:revision>1</cp:revision>
  <dcterms:created xsi:type="dcterms:W3CDTF">2026-05-12T16:02:10.393Z</dcterms:created>
  <dcterms:modified xsi:type="dcterms:W3CDTF">2026-05-12T16:02:10.395Z</dcterms:modified>
</cp:coreProperties>
</file>

<file path=docProps/custom.xml><?xml version="1.0" encoding="utf-8"?>
<Properties xmlns="http://schemas.openxmlformats.org/officeDocument/2006/custom-properties" xmlns:vt="http://schemas.openxmlformats.org/officeDocument/2006/docPropsVTypes"/>
</file>