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center"/>
      </w:pPr>
      <w:r>
        <w:rPr>
          <w:rFonts w:ascii="Arial" w:hAnsi="Arial"/>
          <w:b/>
          <w:color w:val="002FA7"/>
          <w:sz w:val="144"/>
        </w:rPr>
        <w:t>Ψ</w:t>
      </w:r>
    </w:p>
    <w:p>
      <w:pPr>
        <w:spacing w:after="80"/>
        <w:jc w:val="center"/>
      </w:pPr>
      <w:r>
        <w:rPr>
          <w:rFonts w:ascii="Arial" w:hAnsi="Arial"/>
          <w:b/>
          <w:color w:val="1A47B8"/>
          <w:sz w:val="28"/>
        </w:rPr>
        <w:t>Outil 1</w:t>
      </w:r>
    </w:p>
    <w:p>
      <w:pPr>
        <w:spacing w:after="160"/>
        <w:jc w:val="center"/>
      </w:pPr>
      <w:r>
        <w:rPr>
          <w:rFonts w:ascii="Arial" w:hAnsi="Arial"/>
          <w:b/>
          <w:color w:val="002FA7"/>
          <w:sz w:val="48"/>
        </w:rPr>
        <w:t>Trame de cartographie</w:t>
        <w:br/>
        <w:t>des unités de travail</w:t>
      </w:r>
    </w:p>
    <w:p>
      <w:pPr>
        <w:spacing w:after="600"/>
        <w:jc w:val="center"/>
      </w:pPr>
      <w:r>
        <w:rPr>
          <w:rFonts w:ascii="Georgia" w:hAnsi="Georgia"/>
          <w:b w:val="0"/>
          <w:color w:val="5A607A"/>
          <w:sz w:val="26"/>
        </w:rPr>
        <w:t>Recensement structuré selon la logique d'homogénéité d'exposition aux RPS</w:t>
      </w:r>
    </w:p>
    <w:p>
      <w:pPr>
        <w:shd w:val="clear" w:color="auto" w:fill="E8F0FA"/>
        <w:spacing w:before="320" w:after="320"/>
        <w:ind w:left="170" w:right="170"/>
      </w:pPr>
      <w:r>
        <w:rPr>
          <w:rFonts w:ascii="Georgia" w:hAnsi="Georgia"/>
          <w:color w:val="1A1D2E"/>
          <w:sz w:val="22"/>
        </w:rPr>
        <w:t>Outil opérationnel articulé à l'ouvrage Le guide complet RPS et QVCT, du diagnostic à l'action, par Anthony Moulin (Amazon). À adapter à la réalité de votre organisation.</w:t>
      </w:r>
    </w:p>
    <w:p>
      <w:pPr>
        <w:spacing w:after="600"/>
      </w:pPr>
      <w:r>
        <w:rPr>
          <w:rFonts w:ascii="Georgia" w:hAnsi="Georgia"/>
          <w:b w:val="0"/>
          <w:color w:val="1A1D2E"/>
          <w:sz w:val="22"/>
        </w:rPr>
      </w:r>
    </w:p>
    <w:p>
      <w:pPr>
        <w:spacing w:after="40"/>
        <w:jc w:val="center"/>
      </w:pPr>
      <w:r>
        <w:rPr>
          <w:rFonts w:ascii="Arial" w:hAnsi="Arial"/>
          <w:b/>
          <w:color w:val="1A1D2E"/>
          <w:sz w:val="22"/>
        </w:rPr>
        <w:t>Anthony Moulin</w:t>
      </w:r>
    </w:p>
    <w:p>
      <w:pPr>
        <w:spacing w:after="40"/>
        <w:jc w:val="center"/>
      </w:pPr>
      <w:r>
        <w:rPr>
          <w:rFonts w:ascii="Arial" w:hAnsi="Arial"/>
          <w:b w:val="0"/>
          <w:color w:val="5A607A"/>
          <w:sz w:val="20"/>
        </w:rPr>
        <w:t>Psychologue du travail · psychologiedutravail.org</w:t>
      </w:r>
    </w:p>
    <w:p>
      <w:pPr>
        <w:spacing w:after="40"/>
        <w:jc w:val="center"/>
      </w:pPr>
      <w:r>
        <w:rPr>
          <w:rFonts w:ascii="Arial" w:hAnsi="Arial"/>
          <w:b w:val="0"/>
          <w:color w:val="5A607A"/>
          <w:sz w:val="18"/>
        </w:rPr>
        <w:t>Version 1.0 · mai 2026</w:t>
      </w:r>
    </w:p>
    <w:p>
      <w:r>
        <w:br w:type="page"/>
      </w:r>
    </w:p>
    <w:p>
      <w:pPr>
        <w:spacing w:before="360" w:after="200"/>
      </w:pPr>
      <w:r>
        <w:rPr>
          <w:rFonts w:ascii="Arial" w:hAnsi="Arial"/>
          <w:b/>
          <w:color w:val="002FA7"/>
          <w:sz w:val="36"/>
        </w:rPr>
        <w:t>1. La notion d'unité de travail</w:t>
      </w:r>
    </w:p>
    <w:p>
      <w:pPr>
        <w:spacing w:after="120"/>
      </w:pPr>
      <w:r>
        <w:rPr>
          <w:rFonts w:ascii="Georgia" w:hAnsi="Georgia"/>
          <w:b w:val="0"/>
          <w:color w:val="1A1D2E"/>
          <w:sz w:val="22"/>
        </w:rPr>
        <w:t>L'article R.4121-1 du Code du travail, complété par la circulaire DRT n°6 du 18 avril 2002, impose à l'employeur de procéder à l'évaluation des risques par unité de travail. La notion d'unité de travail (UT) ne se confond pas avec l'organigramme : elle désigne un regroupement de salariés exposés à des conditions de travail comparables, indépendamment de leur rattachement hiérarchique.</w:t>
      </w:r>
    </w:p>
    <w:p>
      <w:pPr>
        <w:spacing w:after="120"/>
      </w:pPr>
      <w:r>
        <w:rPr>
          <w:rFonts w:ascii="Georgia" w:hAnsi="Georgia"/>
          <w:b w:val="0"/>
          <w:color w:val="1A1D2E"/>
          <w:sz w:val="22"/>
        </w:rPr>
        <w:t>Une UT pertinente repose sur trois critères principaux : l'homogénéité des situations de travail, l'homogénéité de l'exposition aux facteurs de risque, et la lisibilité organisationnelle qui permettra ensuite de piloter les actions de prévention.</w:t>
      </w:r>
    </w:p>
    <w:p>
      <w:pPr>
        <w:shd w:val="clear" w:color="auto" w:fill="E8F0FA"/>
        <w:spacing w:before="120" w:after="200"/>
        <w:ind w:left="170"/>
      </w:pPr>
      <w:r>
        <w:rPr>
          <w:rFonts w:ascii="Arial" w:hAnsi="Arial"/>
          <w:b/>
          <w:color w:val="002FA7"/>
          <w:sz w:val="20"/>
        </w:rPr>
        <w:t xml:space="preserve">Méthode : </w:t>
      </w:r>
      <w:r>
        <w:rPr>
          <w:rFonts w:ascii="Georgia" w:hAnsi="Georgia"/>
          <w:color w:val="1A1D2E"/>
          <w:sz w:val="20"/>
        </w:rPr>
        <w:t>Découper trop finement les UT démultiplie le travail d'évaluation sans gain de précision. Les regrouper trop largement masque des expositions différenciées. Le bon niveau d'agrégation se construit en concertation avec les représentants du personnel.</w:t>
      </w:r>
    </w:p>
    <w:p>
      <w:pPr>
        <w:spacing w:before="360" w:after="200"/>
      </w:pPr>
      <w:r>
        <w:rPr>
          <w:rFonts w:ascii="Arial" w:hAnsi="Arial"/>
          <w:b/>
          <w:color w:val="002FA7"/>
          <w:sz w:val="36"/>
        </w:rPr>
        <w:t>2. Critères de regroupement</w:t>
      </w:r>
    </w:p>
    <w:p>
      <w:pPr>
        <w:spacing w:before="280" w:after="120"/>
      </w:pPr>
      <w:r>
        <w:rPr>
          <w:rFonts w:ascii="Arial" w:hAnsi="Arial"/>
          <w:b/>
          <w:color w:val="1A47B8"/>
          <w:sz w:val="26"/>
        </w:rPr>
        <w:t>2.1. Critères d'homogénéité</w:t>
      </w:r>
    </w:p>
    <w:p>
      <w:pPr>
        <w:spacing w:after="120"/>
      </w:pPr>
      <w:r>
        <w:rPr>
          <w:rFonts w:ascii="Georgia" w:hAnsi="Georgia"/>
          <w:b w:val="0"/>
          <w:color w:val="1A1D2E"/>
          <w:sz w:val="22"/>
        </w:rPr>
        <w:t>Plusieurs critères permettent d'identifier un regroupement pertinent : la nature du travail prescrit, le rythme et la temporalité (3x8, journée, télétravail), l'environnement physique (bureaux ouverts, atelier, terrain, domicile des usagers), les outils et logiciels utilisés, le type de public (interne, externe, vulnérable), le niveau d'autonomie et de qualification.</w:t>
      </w:r>
    </w:p>
    <w:p>
      <w:pPr>
        <w:spacing w:before="280" w:after="120"/>
      </w:pPr>
      <w:r>
        <w:rPr>
          <w:rFonts w:ascii="Arial" w:hAnsi="Arial"/>
          <w:b/>
          <w:color w:val="1A47B8"/>
          <w:sz w:val="26"/>
        </w:rPr>
        <w:t>2.2. Cas particuliers à traiter explicitement</w:t>
      </w:r>
    </w:p>
    <w:p>
      <w:pPr>
        <w:spacing w:after="120"/>
      </w:pPr>
      <w:r>
        <w:rPr>
          <w:rFonts w:ascii="Georgia" w:hAnsi="Georgia"/>
          <w:b w:val="0"/>
          <w:color w:val="1A1D2E"/>
          <w:sz w:val="22"/>
        </w:rPr>
        <w:t>Certaines situations méritent une attention spécifique. Les agents en mobilité (commerciaux itinérants, conducteurs, techniciens intervenants à domicile), les télétravailleurs partiels ou permanents, les contrats courts et l'intérim, les apprentis et alternants, les agents de nuit, le personnel d'astreinte. Pour chacun de ces cas, l'UT peut être constituée à part ou rattachée à une UT existante avec mention spécifique des facteurs d'exposition propres.</w:t>
      </w:r>
    </w:p>
    <w:p>
      <w:pPr>
        <w:spacing w:before="360" w:after="200"/>
      </w:pPr>
      <w:r>
        <w:rPr>
          <w:rFonts w:ascii="Arial" w:hAnsi="Arial"/>
          <w:b/>
          <w:color w:val="002FA7"/>
          <w:sz w:val="36"/>
        </w:rPr>
        <w:t>3. Tableau de recensement des unités de travail</w:t>
      </w:r>
    </w:p>
    <w:p>
      <w:pPr>
        <w:spacing w:after="120"/>
      </w:pPr>
      <w:r>
        <w:rPr>
          <w:rFonts w:ascii="Georgia" w:hAnsi="Georgia"/>
          <w:b w:val="0"/>
          <w:color w:val="1A1D2E"/>
          <w:sz w:val="22"/>
        </w:rPr>
        <w:t>Pour chaque UT identifiée, renseigner les éléments suivants :</w:t>
      </w:r>
    </w:p>
    <w:tbl>
      <w:tblPr>
        <w:tblW w:type="auto" w:w="0"/>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4986"/>
        <w:gridCol w:w="4986"/>
      </w:tblGrid>
      <w:tr>
        <w:tc>
          <w:tcPr>
            <w:tcW w:type="dxa" w:w="4986"/>
            <w:shd w:val="clear" w:color="auto" w:fill="E8F0FA"/>
          </w:tcPr>
          <w:p>
            <w:r/>
            <w:r>
              <w:rPr>
                <w:rFonts w:ascii="Arial" w:hAnsi="Arial"/>
                <w:b/>
                <w:color w:val="002FA7"/>
                <w:sz w:val="20"/>
              </w:rPr>
              <w:t>N° d'unité de travail</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Intitulé de l'UT</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Effectif concerné</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Métiers et fonctions concernées</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Encadrement de proximité</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Site(s) et locaux</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Rythme et horaires de travail</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Public ou usagers en contact</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Outils, logiciels, équipements clés</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Particularités (mobilité, télétravail, contrats courts)</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Référent dans l'UT (consulté pour l'évaluation)</w:t>
            </w:r>
          </w:p>
        </w:tc>
        <w:tc>
          <w:tcPr>
            <w:tcW w:type="dxa" w:w="4986"/>
          </w:tcPr>
          <w:p>
            <w:r/>
            <w:r>
              <w:rPr>
                <w:rFonts w:ascii="Georgia" w:hAnsi="Georgia"/>
                <w:b w:val="0"/>
                <w:color w:val="1A1D2E"/>
                <w:sz w:val="20"/>
              </w:rPr>
              <w:t>...</w:t>
            </w:r>
          </w:p>
        </w:tc>
      </w:tr>
    </w:tbl>
    <w:p>
      <w:pPr>
        <w:spacing w:after="16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Vigilance : </w:t>
      </w:r>
      <w:r>
        <w:rPr>
          <w:rFonts w:ascii="Georgia" w:hAnsi="Georgia"/>
          <w:color w:val="1A1D2E"/>
          <w:sz w:val="20"/>
        </w:rPr>
        <w:t>Dupliquer ce tableau autant de fois que nécessaire. Numéroter les UT de manière séquentielle. Cette numérotation servira ensuite de référence dans l'ensemble du DUERP-RPS.</w:t>
      </w:r>
    </w:p>
    <w:p>
      <w:pPr>
        <w:spacing w:before="360" w:after="200"/>
      </w:pPr>
      <w:r>
        <w:rPr>
          <w:rFonts w:ascii="Arial" w:hAnsi="Arial"/>
          <w:b/>
          <w:color w:val="002FA7"/>
          <w:sz w:val="36"/>
        </w:rPr>
        <w:t>4. Exemples sectoriels indicatifs</w:t>
      </w:r>
    </w:p>
    <w:p>
      <w:pPr>
        <w:spacing w:before="200" w:after="80"/>
      </w:pPr>
      <w:r>
        <w:rPr>
          <w:rFonts w:ascii="Arial" w:hAnsi="Arial"/>
          <w:b/>
          <w:color w:val="3366CC"/>
          <w:sz w:val="22"/>
        </w:rPr>
        <w:t>EHPAD (180 résidents, 120 salariés)</w:t>
      </w:r>
    </w:p>
    <w:p>
      <w:pPr>
        <w:spacing w:after="120"/>
      </w:pPr>
      <w:r>
        <w:rPr>
          <w:rFonts w:ascii="Georgia" w:hAnsi="Georgia"/>
          <w:b w:val="0"/>
          <w:color w:val="1A1D2E"/>
          <w:sz w:val="20"/>
        </w:rPr>
        <w:t>UT01 Soin · UT02 Encadrement de proximité (cadres de santé) · UT03 Personnel médical et paramédical · UT04 Lingerie, restauration, entretien · UT05 Animation et vie sociale · UT06 Accueil et secrétariat · UT07 Direction et services supports · UT08 Personnel de nuit</w:t>
      </w:r>
    </w:p>
    <w:p>
      <w:pPr>
        <w:spacing w:before="200" w:after="80"/>
      </w:pPr>
      <w:r>
        <w:rPr>
          <w:rFonts w:ascii="Arial" w:hAnsi="Arial"/>
          <w:b/>
          <w:color w:val="3366CC"/>
          <w:sz w:val="22"/>
        </w:rPr>
        <w:t>Mairie de 25 000 habitants (350 agents)</w:t>
      </w:r>
    </w:p>
    <w:p>
      <w:pPr>
        <w:spacing w:after="120"/>
      </w:pPr>
      <w:r>
        <w:rPr>
          <w:rFonts w:ascii="Georgia" w:hAnsi="Georgia"/>
          <w:b w:val="0"/>
          <w:color w:val="1A1D2E"/>
          <w:sz w:val="20"/>
        </w:rPr>
        <w:t>UT01 Accueil et état civil · UT02 Police municipale · UT03 Services techniques (voirie, espaces verts, bâtiments) · UT04 Petite enfance et ATSEM · UT05 Animation et culture · UT06 Services sociaux et CCAS · UT07 Administration générale et finances · UT08 Direction générale</w:t>
      </w:r>
    </w:p>
    <w:p>
      <w:pPr>
        <w:spacing w:before="200" w:after="80"/>
      </w:pPr>
      <w:r>
        <w:rPr>
          <w:rFonts w:ascii="Arial" w:hAnsi="Arial"/>
          <w:b/>
          <w:color w:val="3366CC"/>
          <w:sz w:val="22"/>
        </w:rPr>
        <w:t>Entreprise BTP (80 compagnons, 15 encadrants)</w:t>
      </w:r>
    </w:p>
    <w:p>
      <w:pPr>
        <w:spacing w:after="120"/>
      </w:pPr>
      <w:r>
        <w:rPr>
          <w:rFonts w:ascii="Georgia" w:hAnsi="Georgia"/>
          <w:b w:val="0"/>
          <w:color w:val="1A1D2E"/>
          <w:sz w:val="20"/>
        </w:rPr>
        <w:t>UT01 Gros oeuvre · UT02 Second oeuvre (plomberie, électricité) · UT03 Chefs d'équipe et chefs de chantier · UT04 Conducteurs de travaux · UT05 Bureau d'études et devis · UT06 Magasin et logistique · UT07 Administratif et direction</w:t>
      </w:r>
    </w:p>
    <w:p>
      <w:pPr>
        <w:spacing w:before="200" w:after="80"/>
      </w:pPr>
      <w:r>
        <w:rPr>
          <w:rFonts w:ascii="Arial" w:hAnsi="Arial"/>
          <w:b/>
          <w:color w:val="3366CC"/>
          <w:sz w:val="22"/>
        </w:rPr>
        <w:t>Association d'insertion par l'activité économique (60 salariés permanents, 200 salariés en parcours)</w:t>
      </w:r>
    </w:p>
    <w:p>
      <w:pPr>
        <w:spacing w:after="120"/>
      </w:pPr>
      <w:r>
        <w:rPr>
          <w:rFonts w:ascii="Georgia" w:hAnsi="Georgia"/>
          <w:b w:val="0"/>
          <w:color w:val="1A1D2E"/>
          <w:sz w:val="20"/>
        </w:rPr>
        <w:t>UT01 Encadrants techniques d'insertion · UT02 Travailleurs sociaux (CIP) · UT03 Direction et coordination · UT04 Administratif et comptabilité · UT05 Salariés en parcours d'insertion · UT06 Volontaires et services civiques</w:t>
      </w:r>
    </w:p>
    <w:p>
      <w:pPr>
        <w:spacing w:before="360" w:after="200"/>
      </w:pPr>
      <w:r>
        <w:rPr>
          <w:rFonts w:ascii="Arial" w:hAnsi="Arial"/>
          <w:b/>
          <w:color w:val="002FA7"/>
          <w:sz w:val="36"/>
        </w:rPr>
        <w:t>5. Pour aller plus loin</w:t>
      </w:r>
    </w:p>
    <w:p>
      <w:pPr>
        <w:spacing w:after="120"/>
      </w:pPr>
      <w:r>
        <w:rPr>
          <w:rFonts w:ascii="Georgia" w:hAnsi="Georgia"/>
          <w:b w:val="0"/>
          <w:color w:val="1A1D2E"/>
          <w:sz w:val="22"/>
        </w:rPr>
        <w:t>L'ouvrage Le guide complet RPS et QVCT, du diagnostic à l'action approfondit la méthode de découpage en unités de travail au chapitre 1 et propose une analyse des erreurs fréquentes. Pour les organisations multi-sites, le chapitre 13 propose des trames d'adaptation spécifiques.</w:t>
      </w:r>
    </w:p>
    <w:sectPr w:rsidR="00FC693F" w:rsidRPr="0006063C" w:rsidSect="00034616">
      <w:headerReference w:type="default" r:id="rId9"/>
      <w:footerReference w:type="default" r:id="rId10"/>
      <w:pgSz w:w="12240" w:h="15840"/>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i/>
        <w:color w:val="5A607A"/>
        <w:sz w:val="16"/>
      </w:rPr>
      <w:t>psychologiedutravail.org · Kit DUERP-RPS · Outil gratuit</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Bdr>
        <w:bottom w:val="single" w:sz="8" w:color="002FA7"/>
      </w:pBdr>
    </w:pPr>
  </w:p>
  <w:tbl>
    <w:tblPr>
      <w:tblW w:type="auto" w:w="0"/>
      <w:tblLook w:firstColumn="1" w:firstRow="1" w:lastColumn="0" w:lastRow="0" w:noHBand="0" w:noVBand="1" w:val="04A0"/>
    </w:tblPr>
    <w:tblGrid>
      <w:gridCol w:w="4819"/>
      <w:gridCol w:w="4819"/>
    </w:tblGrid>
    <w:tr>
      <w:tc>
        <w:tcPr>
          <w:tcW w:type="dxa" w:w="4819"/>
        </w:tcPr>
        <w:p>
          <w:r/>
          <w:r>
            <w:rPr>
              <w:rFonts w:ascii="Arial" w:hAnsi="Arial"/>
              <w:b/>
              <w:color w:val="002FA7"/>
              <w:sz w:val="18"/>
            </w:rPr>
            <w:t>Ψ  Anthony Moulin · Psychologue du travail</w:t>
          </w:r>
        </w:p>
      </w:tc>
      <w:tc>
        <w:tcPr>
          <w:tcW w:type="dxa" w:w="4819"/>
        </w:tcPr>
        <w:p>
          <w:pPr>
            <w:jc w:val="right"/>
          </w:pPr>
          <w:r/>
          <w:r>
            <w:rPr>
              <w:rFonts w:ascii="Arial" w:hAnsi="Arial"/>
              <w:b w:val="0"/>
              <w:color w:val="5A607A"/>
              <w:sz w:val="18"/>
            </w:rPr>
            <w:t>Outil 1 · Cartographie UT</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