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1A47B8"/>
          <w:sz w:val="28"/>
        </w:rPr>
        <w:t>Outil 14</w:t>
      </w:r>
    </w:p>
    <w:p>
      <w:pPr>
        <w:spacing w:after="160"/>
        <w:jc w:val="center"/>
      </w:pPr>
      <w:r>
        <w:rPr>
          <w:rFonts w:ascii="Arial" w:hAnsi="Arial"/>
          <w:b/>
          <w:color w:val="002FA7"/>
          <w:sz w:val="48"/>
        </w:rPr>
        <w:t>Guide d'adaptation</w:t>
        <w:br/>
        <w:t>aux situations de changement</w:t>
      </w:r>
    </w:p>
    <w:p>
      <w:pPr>
        <w:spacing w:after="600"/>
        <w:jc w:val="center"/>
      </w:pPr>
      <w:r>
        <w:rPr>
          <w:rFonts w:ascii="Georgia" w:hAnsi="Georgia"/>
          <w:b w:val="0"/>
          <w:color w:val="5A607A"/>
          <w:sz w:val="26"/>
        </w:rPr>
        <w:t>Fusions, transformations numériques, télétravail et grille technostress</w:t>
      </w:r>
    </w:p>
    <w:p>
      <w:pPr>
        <w:shd w:val="clear" w:color="auto" w:fill="E8F0FA"/>
        <w:spacing w:before="320" w:after="320"/>
        <w:ind w:left="170" w:right="170"/>
      </w:pPr>
      <w:r>
        <w:rPr>
          <w:rFonts w:ascii="Georgia" w:hAnsi="Georgia"/>
          <w:color w:val="1A1D2E"/>
          <w:sz w:val="22"/>
        </w:rPr>
        <w:t>Outil opérationnel articulé à l'ouvrage Le guide complet RPS et QVCT, du diagnostic à l'action, par Anthony Moulin (Amazon). À adapter à la réalité de votre organisation.</w:t>
      </w:r>
    </w:p>
    <w:p>
      <w:pPr>
        <w:spacing w:after="600"/>
      </w:pPr>
      <w:r>
        <w:rPr>
          <w:rFonts w:ascii="Georgia" w:hAnsi="Georgia"/>
          <w:b w:val="0"/>
          <w:color w:val="1A1D2E"/>
          <w:sz w:val="22"/>
        </w:rPr>
      </w:r>
    </w:p>
    <w:p>
      <w:pPr>
        <w:spacing w:after="40"/>
        <w:jc w:val="center"/>
      </w:pPr>
      <w:r>
        <w:rPr>
          <w:rFonts w:ascii="Arial" w:hAnsi="Arial"/>
          <w:b/>
          <w:color w:val="1A1D2E"/>
          <w:sz w:val="22"/>
        </w:rPr>
        <w:t>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Version 1.0 · mai 2026</w:t>
      </w:r>
    </w:p>
    <w:p>
      <w:r>
        <w:br w:type="page"/>
      </w:r>
    </w:p>
    <w:p>
      <w:pPr>
        <w:spacing w:before="360" w:after="200"/>
      </w:pPr>
      <w:r>
        <w:rPr>
          <w:rFonts w:ascii="Arial" w:hAnsi="Arial"/>
          <w:b/>
          <w:color w:val="002FA7"/>
          <w:sz w:val="36"/>
        </w:rPr>
        <w:t>1. Pourquoi un guide spécifique</w:t>
      </w:r>
    </w:p>
    <w:p>
      <w:pPr>
        <w:spacing w:after="120"/>
      </w:pPr>
      <w:r>
        <w:rPr>
          <w:rFonts w:ascii="Georgia" w:hAnsi="Georgia"/>
          <w:b w:val="0"/>
          <w:color w:val="1A1D2E"/>
          <w:sz w:val="22"/>
        </w:rPr>
        <w:t>Les situations de changement organisationnel constituent des périodes de vulnérabilité accrue pour la santé mentale au travail. Restructurations, fusions, transformations numériques, déménagements, déploiement du télétravail généralisé : toutes ces situations modifient simultanément plusieurs des six familles de facteurs Gollac. L'employeur doit alors réviser son DUERP-RPS pour intégrer ces transformations, en application de l'article R.4121-2 du Code du travail.</w:t>
      </w:r>
    </w:p>
    <w:p>
      <w:pPr>
        <w:spacing w:after="120"/>
      </w:pPr>
      <w:r>
        <w:rPr>
          <w:rFonts w:ascii="Georgia" w:hAnsi="Georgia"/>
          <w:b w:val="0"/>
          <w:color w:val="1A1D2E"/>
          <w:sz w:val="22"/>
        </w:rPr>
        <w:t>Ce guide propose quatre trames spécifiques, à utiliser en complément du modèle DUERP-RPS habituel, et une grille d'évaluation du technostress fondée sur les travaux de Tarafdar et collègues.</w:t>
      </w:r>
    </w:p>
    <w:p>
      <w:pPr>
        <w:spacing w:before="360" w:after="200"/>
      </w:pPr>
      <w:r>
        <w:rPr>
          <w:rFonts w:ascii="Arial" w:hAnsi="Arial"/>
          <w:b/>
          <w:color w:val="002FA7"/>
          <w:sz w:val="36"/>
        </w:rPr>
        <w:t>2. Trame fusion et restructuration</w:t>
      </w:r>
    </w:p>
    <w:p>
      <w:pPr>
        <w:spacing w:after="120"/>
      </w:pPr>
      <w:r>
        <w:rPr>
          <w:rFonts w:ascii="Georgia" w:hAnsi="Georgia"/>
          <w:b w:val="0"/>
          <w:color w:val="1A1D2E"/>
          <w:sz w:val="22"/>
        </w:rPr>
        <w:t>Une fusion ou une restructuration produit trois effets RPS simultanés. Une insécurité élevée (qui garde son poste, qui change de fonction). Une rupture des collectifs de travail (équipes recomposées, repères perdus). Une charge de travail accrue (cumul du nouveau et de l'ancien pendant la transition).</w:t>
      </w:r>
    </w:p>
    <w:p>
      <w:pPr>
        <w:spacing w:before="280" w:after="120"/>
      </w:pPr>
      <w:r>
        <w:rPr>
          <w:rFonts w:ascii="Arial" w:hAnsi="Arial"/>
          <w:b/>
          <w:color w:val="1A47B8"/>
          <w:sz w:val="26"/>
        </w:rPr>
        <w:t>Points à intégrer au DUERP-RPS</w:t>
      </w:r>
    </w:p>
    <w:p>
      <w:pPr>
        <w:spacing w:after="80"/>
      </w:pPr>
      <w:r>
        <w:rPr>
          <w:rFonts w:ascii="Georgia" w:hAnsi="Georgia"/>
          <w:color w:val="1A1D2E"/>
          <w:sz w:val="20"/>
        </w:rPr>
        <w:t>• Calendrier précis de la transformation et points de bascule</w:t>
      </w:r>
    </w:p>
    <w:p>
      <w:pPr>
        <w:spacing w:after="80"/>
      </w:pPr>
      <w:r>
        <w:rPr>
          <w:rFonts w:ascii="Georgia" w:hAnsi="Georgia"/>
          <w:color w:val="1A1D2E"/>
          <w:sz w:val="20"/>
        </w:rPr>
        <w:t>• Cartographie des unités de travail avant et après transformation</w:t>
      </w:r>
    </w:p>
    <w:p>
      <w:pPr>
        <w:spacing w:after="80"/>
      </w:pPr>
      <w:r>
        <w:rPr>
          <w:rFonts w:ascii="Georgia" w:hAnsi="Georgia"/>
          <w:color w:val="1A1D2E"/>
          <w:sz w:val="20"/>
        </w:rPr>
        <w:t>• Identification des collectifs de travail qui se dissolvent et de ceux qui se créent</w:t>
      </w:r>
    </w:p>
    <w:p>
      <w:pPr>
        <w:spacing w:after="80"/>
      </w:pPr>
      <w:r>
        <w:rPr>
          <w:rFonts w:ascii="Georgia" w:hAnsi="Georgia"/>
          <w:color w:val="1A1D2E"/>
          <w:sz w:val="20"/>
        </w:rPr>
        <w:t>• Plan de communication interne et fréquence des points d'étape</w:t>
      </w:r>
    </w:p>
    <w:p>
      <w:pPr>
        <w:spacing w:after="80"/>
      </w:pPr>
      <w:r>
        <w:rPr>
          <w:rFonts w:ascii="Georgia" w:hAnsi="Georgia"/>
          <w:color w:val="1A1D2E"/>
          <w:sz w:val="20"/>
        </w:rPr>
        <w:t>• Dispositif d'accompagnement individuel (entretiens, bilans de compétences, formation)</w:t>
      </w:r>
    </w:p>
    <w:p>
      <w:pPr>
        <w:spacing w:after="80"/>
      </w:pPr>
      <w:r>
        <w:rPr>
          <w:rFonts w:ascii="Georgia" w:hAnsi="Georgia"/>
          <w:color w:val="1A1D2E"/>
          <w:sz w:val="20"/>
        </w:rPr>
        <w:t>• Indicateurs spécifiques de la période de transition : turnover anticipé, demandes de mobilité, arrêts de travail</w:t>
      </w:r>
    </w:p>
    <w:p>
      <w:pPr>
        <w:spacing w:before="360" w:after="200"/>
      </w:pPr>
      <w:r>
        <w:rPr>
          <w:rFonts w:ascii="Arial" w:hAnsi="Arial"/>
          <w:b/>
          <w:color w:val="002FA7"/>
          <w:sz w:val="36"/>
        </w:rPr>
        <w:t>3. Trame succession à la direction</w:t>
      </w:r>
    </w:p>
    <w:p>
      <w:pPr>
        <w:spacing w:after="120"/>
      </w:pPr>
      <w:r>
        <w:rPr>
          <w:rFonts w:ascii="Georgia" w:hAnsi="Georgia"/>
          <w:b w:val="0"/>
          <w:color w:val="1A1D2E"/>
          <w:sz w:val="22"/>
        </w:rPr>
        <w:t>Le départ d'un dirigeant historique ou son remplacement par une nouvelle équipe constitue une transition souvent sous-estimée. Elle modifie en profondeur les rapports sociaux, les marges d'autonomie, parfois le projet d'organisation.</w:t>
      </w:r>
    </w:p>
    <w:p>
      <w:pPr>
        <w:spacing w:before="280" w:after="120"/>
      </w:pPr>
      <w:r>
        <w:rPr>
          <w:rFonts w:ascii="Arial" w:hAnsi="Arial"/>
          <w:b/>
          <w:color w:val="1A47B8"/>
          <w:sz w:val="26"/>
        </w:rPr>
        <w:t>Points à intégrer au DUERP-RPS</w:t>
      </w:r>
    </w:p>
    <w:p>
      <w:pPr>
        <w:spacing w:after="80"/>
      </w:pPr>
      <w:r>
        <w:rPr>
          <w:rFonts w:ascii="Georgia" w:hAnsi="Georgia"/>
          <w:color w:val="1A1D2E"/>
          <w:sz w:val="20"/>
        </w:rPr>
        <w:t>• Diagnostic d'écart entre le projet de l'équipe sortante et celui de l'équipe entrante</w:t>
      </w:r>
    </w:p>
    <w:p>
      <w:pPr>
        <w:spacing w:after="80"/>
      </w:pPr>
      <w:r>
        <w:rPr>
          <w:rFonts w:ascii="Georgia" w:hAnsi="Georgia"/>
          <w:color w:val="1A1D2E"/>
          <w:sz w:val="20"/>
        </w:rPr>
        <w:t>• Identification des collectifs de travail attachés à la culture historique</w:t>
      </w:r>
    </w:p>
    <w:p>
      <w:pPr>
        <w:spacing w:after="80"/>
      </w:pPr>
      <w:r>
        <w:rPr>
          <w:rFonts w:ascii="Georgia" w:hAnsi="Georgia"/>
          <w:color w:val="1A1D2E"/>
          <w:sz w:val="20"/>
        </w:rPr>
        <w:t>• Plan de transition managériale (passation, immersion, formalisation)</w:t>
      </w:r>
    </w:p>
    <w:p>
      <w:pPr>
        <w:spacing w:after="80"/>
      </w:pPr>
      <w:r>
        <w:rPr>
          <w:rFonts w:ascii="Georgia" w:hAnsi="Georgia"/>
          <w:color w:val="1A1D2E"/>
          <w:sz w:val="20"/>
        </w:rPr>
        <w:t>• Indicateurs spécifiques de la période : engagement, satisfaction, départs</w:t>
      </w:r>
    </w:p>
    <w:p>
      <w:pPr>
        <w:spacing w:before="360" w:after="200"/>
      </w:pPr>
      <w:r>
        <w:rPr>
          <w:rFonts w:ascii="Arial" w:hAnsi="Arial"/>
          <w:b/>
          <w:color w:val="002FA7"/>
          <w:sz w:val="36"/>
        </w:rPr>
        <w:t>4. Trame transformation numérique</w:t>
      </w:r>
    </w:p>
    <w:p>
      <w:pPr>
        <w:spacing w:after="120"/>
      </w:pPr>
      <w:r>
        <w:rPr>
          <w:rFonts w:ascii="Georgia" w:hAnsi="Georgia"/>
          <w:b w:val="0"/>
          <w:color w:val="1A1D2E"/>
          <w:sz w:val="22"/>
        </w:rPr>
        <w:t>Le déploiement de nouveaux outils numériques (ERP, intranet, intelligence artificielle, automatisation) modifie en profondeur l'activité réelle. Au-delà des aspects techniques, ces transformations produisent un risque spécifique : le technostress.</w:t>
      </w:r>
    </w:p>
    <w:p>
      <w:pPr>
        <w:spacing w:before="280" w:after="120"/>
      </w:pPr>
      <w:r>
        <w:rPr>
          <w:rFonts w:ascii="Arial" w:hAnsi="Arial"/>
          <w:b/>
          <w:color w:val="1A47B8"/>
          <w:sz w:val="26"/>
        </w:rPr>
        <w:t>Points à intégrer au DUERP-RPS</w:t>
      </w:r>
    </w:p>
    <w:p>
      <w:pPr>
        <w:spacing w:after="80"/>
      </w:pPr>
      <w:r>
        <w:rPr>
          <w:rFonts w:ascii="Georgia" w:hAnsi="Georgia"/>
          <w:color w:val="1A1D2E"/>
          <w:sz w:val="20"/>
        </w:rPr>
        <w:t>• Cartographie des outils déployés et de leur charge cognitive</w:t>
      </w:r>
    </w:p>
    <w:p>
      <w:pPr>
        <w:spacing w:after="80"/>
      </w:pPr>
      <w:r>
        <w:rPr>
          <w:rFonts w:ascii="Georgia" w:hAnsi="Georgia"/>
          <w:color w:val="1A1D2E"/>
          <w:sz w:val="20"/>
        </w:rPr>
        <w:t>• Plan de formation et de support utilisateur</w:t>
      </w:r>
    </w:p>
    <w:p>
      <w:pPr>
        <w:spacing w:after="80"/>
      </w:pPr>
      <w:r>
        <w:rPr>
          <w:rFonts w:ascii="Georgia" w:hAnsi="Georgia"/>
          <w:color w:val="1A1D2E"/>
          <w:sz w:val="20"/>
        </w:rPr>
        <w:t>• Participation des utilisateurs à la conception et à l'évaluation des outils</w:t>
      </w:r>
    </w:p>
    <w:p>
      <w:pPr>
        <w:spacing w:after="80"/>
      </w:pPr>
      <w:r>
        <w:rPr>
          <w:rFonts w:ascii="Georgia" w:hAnsi="Georgia"/>
          <w:color w:val="1A1D2E"/>
          <w:sz w:val="20"/>
        </w:rPr>
        <w:t>• Indicateurs de technostress (voir grille ci-dessous)</w:t>
      </w:r>
    </w:p>
    <w:p>
      <w:pPr>
        <w:spacing w:after="80"/>
      </w:pPr>
      <w:r>
        <w:rPr>
          <w:rFonts w:ascii="Georgia" w:hAnsi="Georgia"/>
          <w:color w:val="1A1D2E"/>
          <w:sz w:val="20"/>
        </w:rPr>
        <w:t>• Évaluation périodique de la satisfaction et de la maîtrise effective des outils</w:t>
      </w:r>
    </w:p>
    <w:p>
      <w:pPr>
        <w:spacing w:before="280" w:after="120"/>
      </w:pPr>
      <w:r>
        <w:rPr>
          <w:rFonts w:ascii="Arial" w:hAnsi="Arial"/>
          <w:b/>
          <w:color w:val="1A47B8"/>
          <w:sz w:val="26"/>
        </w:rPr>
        <w:t>Grille technostress (d'après Tarafdar et al., 2007, 2019)</w:t>
      </w:r>
    </w:p>
    <w:p>
      <w:pPr>
        <w:spacing w:after="120"/>
      </w:pPr>
      <w:r>
        <w:rPr>
          <w:rFonts w:ascii="Georgia" w:hAnsi="Georgia"/>
          <w:b w:val="0"/>
          <w:color w:val="1A1D2E"/>
          <w:sz w:val="22"/>
        </w:rPr>
        <w:t>Le technostress se décompose selon Tarafdar en cinq dimensions à évaluer périodiquement :</w:t>
      </w:r>
    </w:p>
    <w:tbl>
      <w:tblPr>
        <w:tblW w:type="auto" w:w="0"/>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3324"/>
        <w:gridCol w:w="3324"/>
        <w:gridCol w:w="3324"/>
      </w:tblGrid>
      <w:tr>
        <w:tc>
          <w:tcPr>
            <w:tcW w:type="dxa" w:w="3324"/>
            <w:shd w:val="clear" w:color="auto" w:fill="002FA7"/>
          </w:tcPr>
          <w:p>
            <w:r>
              <w:rPr>
                <w:rFonts w:ascii="Arial" w:hAnsi="Arial"/>
                <w:b/>
                <w:color w:val="FFFFFF"/>
                <w:sz w:val="20"/>
              </w:rPr>
            </w:r>
            <w:r>
              <w:rPr>
                <w:rFonts w:ascii="Arial" w:hAnsi="Arial"/>
                <w:b/>
                <w:color w:val="FFFFFF"/>
                <w:sz w:val="20"/>
              </w:rPr>
              <w:t>Dimension</w:t>
            </w:r>
          </w:p>
        </w:tc>
        <w:tc>
          <w:tcPr>
            <w:tcW w:type="dxa" w:w="3324"/>
            <w:shd w:val="clear" w:color="auto" w:fill="002FA7"/>
          </w:tcPr>
          <w:p>
            <w:r>
              <w:rPr>
                <w:rFonts w:ascii="Arial" w:hAnsi="Arial"/>
                <w:b/>
                <w:color w:val="FFFFFF"/>
                <w:sz w:val="20"/>
              </w:rPr>
            </w:r>
            <w:r>
              <w:rPr>
                <w:rFonts w:ascii="Arial" w:hAnsi="Arial"/>
                <w:b/>
                <w:color w:val="FFFFFF"/>
                <w:sz w:val="20"/>
              </w:rPr>
              <w:t>Manifestation</w:t>
            </w:r>
          </w:p>
        </w:tc>
        <w:tc>
          <w:tcPr>
            <w:tcW w:type="dxa" w:w="3324"/>
            <w:shd w:val="clear" w:color="auto" w:fill="002FA7"/>
          </w:tcPr>
          <w:p>
            <w:r>
              <w:rPr>
                <w:rFonts w:ascii="Arial" w:hAnsi="Arial"/>
                <w:b/>
                <w:color w:val="FFFFFF"/>
                <w:sz w:val="20"/>
              </w:rPr>
            </w:r>
            <w:r>
              <w:rPr>
                <w:rFonts w:ascii="Arial" w:hAnsi="Arial"/>
                <w:b/>
                <w:color w:val="FFFFFF"/>
                <w:sz w:val="20"/>
              </w:rPr>
              <w:t>Niveau (1 à 4)</w:t>
            </w:r>
          </w:p>
        </w:tc>
      </w:tr>
      <w:tr>
        <w:tc>
          <w:tcPr>
            <w:tcW w:type="dxa" w:w="3324"/>
          </w:tcPr>
          <w:p>
            <w:r/>
            <w:r>
              <w:rPr>
                <w:rFonts w:ascii="Arial" w:hAnsi="Arial"/>
                <w:b/>
                <w:color w:val="1A47B8"/>
                <w:sz w:val="20"/>
              </w:rPr>
              <w:t>Surcharge technologique</w:t>
            </w:r>
          </w:p>
        </w:tc>
        <w:tc>
          <w:tcPr>
            <w:tcW w:type="dxa" w:w="3324"/>
          </w:tcPr>
          <w:p>
            <w:r/>
            <w:r>
              <w:rPr>
                <w:rFonts w:ascii="Georgia" w:hAnsi="Georgia"/>
                <w:b w:val="0"/>
                <w:color w:val="1A1D2E"/>
                <w:sz w:val="20"/>
              </w:rPr>
              <w:t>Les outils numériques accroissent la charge de travail au-delà du soutenable. Sentiment d'être submergé par les notifications, les courriels, les sollicitations multiples.</w:t>
            </w:r>
          </w:p>
        </w:tc>
        <w:tc>
          <w:tcPr>
            <w:tcW w:type="dxa" w:w="3324"/>
          </w:tcPr>
          <w:p>
            <w:r/>
            <w:r>
              <w:rPr>
                <w:rFonts w:ascii="Georgia" w:hAnsi="Georgia"/>
                <w:b w:val="0"/>
                <w:color w:val="1A1D2E"/>
                <w:sz w:val="20"/>
              </w:rPr>
              <w:t>...</w:t>
            </w:r>
          </w:p>
        </w:tc>
      </w:tr>
      <w:tr>
        <w:tc>
          <w:tcPr>
            <w:tcW w:type="dxa" w:w="3324"/>
          </w:tcPr>
          <w:p>
            <w:r/>
            <w:r>
              <w:rPr>
                <w:rFonts w:ascii="Arial" w:hAnsi="Arial"/>
                <w:b/>
                <w:color w:val="1A47B8"/>
                <w:sz w:val="20"/>
              </w:rPr>
              <w:t>Invasion technologique</w:t>
            </w:r>
          </w:p>
        </w:tc>
        <w:tc>
          <w:tcPr>
            <w:tcW w:type="dxa" w:w="3324"/>
          </w:tcPr>
          <w:p>
            <w:r/>
            <w:r>
              <w:rPr>
                <w:rFonts w:ascii="Georgia" w:hAnsi="Georgia"/>
                <w:b w:val="0"/>
                <w:color w:val="1A1D2E"/>
                <w:sz w:val="20"/>
              </w:rPr>
              <w:t>Les outils brouillent la frontière entre vie professionnelle et vie personnelle. Difficulté à se déconnecter, sollicitations en dehors des heures.</w:t>
            </w:r>
          </w:p>
        </w:tc>
        <w:tc>
          <w:tcPr>
            <w:tcW w:type="dxa" w:w="3324"/>
          </w:tcPr>
          <w:p>
            <w:r/>
            <w:r>
              <w:rPr>
                <w:rFonts w:ascii="Georgia" w:hAnsi="Georgia"/>
                <w:b w:val="0"/>
                <w:color w:val="1A1D2E"/>
                <w:sz w:val="20"/>
              </w:rPr>
              <w:t>...</w:t>
            </w:r>
          </w:p>
        </w:tc>
      </w:tr>
      <w:tr>
        <w:tc>
          <w:tcPr>
            <w:tcW w:type="dxa" w:w="3324"/>
          </w:tcPr>
          <w:p>
            <w:r/>
            <w:r>
              <w:rPr>
                <w:rFonts w:ascii="Arial" w:hAnsi="Arial"/>
                <w:b/>
                <w:color w:val="1A47B8"/>
                <w:sz w:val="20"/>
              </w:rPr>
              <w:t>Complexité technologique</w:t>
            </w:r>
          </w:p>
        </w:tc>
        <w:tc>
          <w:tcPr>
            <w:tcW w:type="dxa" w:w="3324"/>
          </w:tcPr>
          <w:p>
            <w:r/>
            <w:r>
              <w:rPr>
                <w:rFonts w:ascii="Georgia" w:hAnsi="Georgia"/>
                <w:b w:val="0"/>
                <w:color w:val="1A1D2E"/>
                <w:sz w:val="20"/>
              </w:rPr>
              <w:t>Sentiment de ne pas maîtriser les outils, anxiété face aux mises à jour, peur d'être dépassé par les évolutions.</w:t>
            </w:r>
          </w:p>
        </w:tc>
        <w:tc>
          <w:tcPr>
            <w:tcW w:type="dxa" w:w="3324"/>
          </w:tcPr>
          <w:p>
            <w:r/>
            <w:r>
              <w:rPr>
                <w:rFonts w:ascii="Georgia" w:hAnsi="Georgia"/>
                <w:b w:val="0"/>
                <w:color w:val="1A1D2E"/>
                <w:sz w:val="20"/>
              </w:rPr>
              <w:t>...</w:t>
            </w:r>
          </w:p>
        </w:tc>
      </w:tr>
      <w:tr>
        <w:tc>
          <w:tcPr>
            <w:tcW w:type="dxa" w:w="3324"/>
          </w:tcPr>
          <w:p>
            <w:r/>
            <w:r>
              <w:rPr>
                <w:rFonts w:ascii="Arial" w:hAnsi="Arial"/>
                <w:b/>
                <w:color w:val="1A47B8"/>
                <w:sz w:val="20"/>
              </w:rPr>
              <w:t>Insécurité technologique</w:t>
            </w:r>
          </w:p>
        </w:tc>
        <w:tc>
          <w:tcPr>
            <w:tcW w:type="dxa" w:w="3324"/>
          </w:tcPr>
          <w:p>
            <w:r/>
            <w:r>
              <w:rPr>
                <w:rFonts w:ascii="Georgia" w:hAnsi="Georgia"/>
                <w:b w:val="0"/>
                <w:color w:val="1A1D2E"/>
                <w:sz w:val="20"/>
              </w:rPr>
              <w:t>Crainte que les évolutions technologiques (automatisation, IA) ne menacent l'emploi ou la valeur du métier.</w:t>
            </w:r>
          </w:p>
        </w:tc>
        <w:tc>
          <w:tcPr>
            <w:tcW w:type="dxa" w:w="3324"/>
          </w:tcPr>
          <w:p>
            <w:r/>
            <w:r>
              <w:rPr>
                <w:rFonts w:ascii="Georgia" w:hAnsi="Georgia"/>
                <w:b w:val="0"/>
                <w:color w:val="1A1D2E"/>
                <w:sz w:val="20"/>
              </w:rPr>
              <w:t>...</w:t>
            </w:r>
          </w:p>
        </w:tc>
      </w:tr>
      <w:tr>
        <w:tc>
          <w:tcPr>
            <w:tcW w:type="dxa" w:w="3324"/>
          </w:tcPr>
          <w:p>
            <w:r/>
            <w:r>
              <w:rPr>
                <w:rFonts w:ascii="Arial" w:hAnsi="Arial"/>
                <w:b/>
                <w:color w:val="1A47B8"/>
                <w:sz w:val="20"/>
              </w:rPr>
              <w:t>Incertitude technologique</w:t>
            </w:r>
          </w:p>
        </w:tc>
        <w:tc>
          <w:tcPr>
            <w:tcW w:type="dxa" w:w="3324"/>
          </w:tcPr>
          <w:p>
            <w:r/>
            <w:r>
              <w:rPr>
                <w:rFonts w:ascii="Georgia" w:hAnsi="Georgia"/>
                <w:b w:val="0"/>
                <w:color w:val="1A1D2E"/>
                <w:sz w:val="20"/>
              </w:rPr>
              <w:t>Changements continuels d'outils, de versions, d'interfaces. Sentiment d'instabilité chronique.</w:t>
            </w:r>
          </w:p>
        </w:tc>
        <w:tc>
          <w:tcPr>
            <w:tcW w:type="dxa" w:w="3324"/>
          </w:tcPr>
          <w:p>
            <w:r/>
            <w:r>
              <w:rPr>
                <w:rFonts w:ascii="Georgia" w:hAnsi="Georgia"/>
                <w:b w:val="0"/>
                <w:color w:val="1A1D2E"/>
                <w:sz w:val="20"/>
              </w:rPr>
              <w:t>...</w:t>
            </w:r>
          </w:p>
        </w:tc>
      </w:tr>
    </w:tbl>
    <w:p>
      <w:pPr>
        <w:spacing w:before="360" w:after="200"/>
      </w:pPr>
      <w:r>
        <w:rPr>
          <w:rFonts w:ascii="Arial" w:hAnsi="Arial"/>
          <w:b/>
          <w:color w:val="002FA7"/>
          <w:sz w:val="36"/>
        </w:rPr>
        <w:t>5. Trame télétravail généralisé ou hybride</w:t>
      </w:r>
    </w:p>
    <w:p>
      <w:pPr>
        <w:spacing w:after="120"/>
      </w:pPr>
      <w:r>
        <w:rPr>
          <w:rFonts w:ascii="Georgia" w:hAnsi="Georgia"/>
          <w:b w:val="0"/>
          <w:color w:val="1A1D2E"/>
          <w:sz w:val="22"/>
        </w:rPr>
        <w:t>Le télétravail, qu'il soit total ou hybride, modifie plusieurs familles Gollac simultanément. Il interroge l'autonomie réelle, transforme les rapports sociaux, redéfinit la frontière entre vie professionnelle et personnelle, et soulève des questions d'équité entre télétravailleurs et présentiels.</w:t>
      </w:r>
    </w:p>
    <w:p>
      <w:pPr>
        <w:spacing w:before="280" w:after="120"/>
      </w:pPr>
      <w:r>
        <w:rPr>
          <w:rFonts w:ascii="Arial" w:hAnsi="Arial"/>
          <w:b/>
          <w:color w:val="1A47B8"/>
          <w:sz w:val="26"/>
        </w:rPr>
        <w:t>Points à intégrer au DUERP-RPS</w:t>
      </w:r>
    </w:p>
    <w:p>
      <w:pPr>
        <w:spacing w:after="80"/>
      </w:pPr>
      <w:r>
        <w:rPr>
          <w:rFonts w:ascii="Georgia" w:hAnsi="Georgia"/>
          <w:color w:val="1A1D2E"/>
          <w:sz w:val="20"/>
        </w:rPr>
        <w:t>• Cadre conventionnel du télétravail (accord d'entreprise, charte, avenant)</w:t>
      </w:r>
    </w:p>
    <w:p>
      <w:pPr>
        <w:spacing w:after="80"/>
      </w:pPr>
      <w:r>
        <w:rPr>
          <w:rFonts w:ascii="Georgia" w:hAnsi="Georgia"/>
          <w:color w:val="1A1D2E"/>
          <w:sz w:val="20"/>
        </w:rPr>
        <w:t>• Conditions matérielles (équipement, ergonomie du domicile, prise en charge des coûts)</w:t>
      </w:r>
    </w:p>
    <w:p>
      <w:pPr>
        <w:spacing w:after="80"/>
      </w:pPr>
      <w:r>
        <w:rPr>
          <w:rFonts w:ascii="Georgia" w:hAnsi="Georgia"/>
          <w:color w:val="1A1D2E"/>
          <w:sz w:val="20"/>
        </w:rPr>
        <w:t>• Modalités de management à distance (régularité des points, modes de communication, charge de la coordination)</w:t>
      </w:r>
    </w:p>
    <w:p>
      <w:pPr>
        <w:spacing w:after="80"/>
      </w:pPr>
      <w:r>
        <w:rPr>
          <w:rFonts w:ascii="Georgia" w:hAnsi="Georgia"/>
          <w:color w:val="1A1D2E"/>
          <w:sz w:val="20"/>
        </w:rPr>
        <w:t>• Droit à la déconnexion effective et non symbolique</w:t>
      </w:r>
    </w:p>
    <w:p>
      <w:pPr>
        <w:spacing w:after="80"/>
      </w:pPr>
      <w:r>
        <w:rPr>
          <w:rFonts w:ascii="Georgia" w:hAnsi="Georgia"/>
          <w:color w:val="1A1D2E"/>
          <w:sz w:val="20"/>
        </w:rPr>
        <w:t>• Équité de traitement entre présentiels et télétravailleurs</w:t>
      </w:r>
    </w:p>
    <w:p>
      <w:pPr>
        <w:spacing w:after="80"/>
      </w:pPr>
      <w:r>
        <w:rPr>
          <w:rFonts w:ascii="Georgia" w:hAnsi="Georgia"/>
          <w:color w:val="1A1D2E"/>
          <w:sz w:val="20"/>
        </w:rPr>
        <w:t>• Indicateurs spécifiques : isolement perçu, recours au support technique, demandes de retour en présentiel</w:t>
      </w:r>
    </w:p>
    <w:p>
      <w:pPr>
        <w:shd w:val="clear" w:color="auto" w:fill="E8F0FA"/>
        <w:spacing w:before="120" w:after="200"/>
        <w:ind w:left="170"/>
      </w:pPr>
      <w:r>
        <w:rPr>
          <w:rFonts w:ascii="Arial" w:hAnsi="Arial"/>
          <w:b/>
          <w:color w:val="002FA7"/>
          <w:sz w:val="20"/>
        </w:rPr>
        <w:t xml:space="preserve">À retenir : </w:t>
      </w:r>
      <w:r>
        <w:rPr>
          <w:rFonts w:ascii="Georgia" w:hAnsi="Georgia"/>
          <w:color w:val="1A1D2E"/>
          <w:sz w:val="20"/>
        </w:rPr>
        <w:t>Toute période de changement appelle une révision du DUERP-RPS dans un délai raisonnable, qu'on peut fixer à six mois après le déploiement effectif. Cette révision n'est pas seulement formelle : elle constitue le moment où les effets RPS de la transformation deviennent observables et peuvent être traités.</w:t>
      </w:r>
    </w:p>
    <w:p>
      <w:pPr>
        <w:spacing w:before="360" w:after="200"/>
      </w:pPr>
      <w:r>
        <w:rPr>
          <w:rFonts w:ascii="Arial" w:hAnsi="Arial"/>
          <w:b/>
          <w:color w:val="002FA7"/>
          <w:sz w:val="36"/>
        </w:rPr>
        <w:t>6. Pour aller plus loin</w:t>
      </w:r>
    </w:p>
    <w:p>
      <w:pPr>
        <w:spacing w:after="120"/>
      </w:pPr>
      <w:r>
        <w:rPr>
          <w:rFonts w:ascii="Georgia" w:hAnsi="Georgia"/>
          <w:b w:val="0"/>
          <w:color w:val="1A1D2E"/>
          <w:sz w:val="22"/>
        </w:rPr>
        <w:t>L'ouvrage Le guide complet RPS et QVCT, du diagnostic à l'action consacre le chapitre 12 aux situations de changement organisationnel, en articulant les apports de Karasek, Siegrist et Tarafdar à la pratique de terrain.</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Kit DUERP-RPS · Outil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Outil 14 · Changement organisationnel</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