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1A47B8"/>
          <w:sz w:val="28"/>
        </w:rPr>
        <w:t>Outil 13</w:t>
      </w:r>
    </w:p>
    <w:p>
      <w:pPr>
        <w:spacing w:after="160"/>
        <w:jc w:val="center"/>
      </w:pPr>
      <w:r>
        <w:rPr>
          <w:rFonts w:ascii="Arial" w:hAnsi="Arial"/>
          <w:b/>
          <w:color w:val="002FA7"/>
          <w:sz w:val="48"/>
        </w:rPr>
        <w:t>Fiches sectorielles</w:t>
        <w:br/>
        <w:t>d'adaptation</w:t>
      </w:r>
    </w:p>
    <w:p>
      <w:pPr>
        <w:spacing w:after="600"/>
        <w:jc w:val="center"/>
      </w:pPr>
      <w:r>
        <w:rPr>
          <w:rFonts w:ascii="Georgia" w:hAnsi="Georgia"/>
          <w:b w:val="0"/>
          <w:color w:val="5A607A"/>
          <w:sz w:val="26"/>
        </w:rPr>
        <w:t>Quatre déclinaisons pour adapter la démarche aux contextes organisationnels spécifiques</w:t>
      </w:r>
    </w:p>
    <w:p>
      <w:pPr>
        <w:shd w:val="clear" w:color="auto" w:fill="E8F0FA"/>
        <w:spacing w:before="320" w:after="320"/>
        <w:ind w:left="170" w:right="170"/>
      </w:pPr>
      <w:r>
        <w:rPr>
          <w:rFonts w:ascii="Georgia" w:hAnsi="Georgia"/>
          <w:color w:val="1A1D2E"/>
          <w:sz w:val="22"/>
        </w:rPr>
        <w:t>Outil opérationnel articulé à l'ouvrage Le guide complet RPS et QVCT, du diagnostic à l'action, par Anthony Moulin (Amazon). À adapter à la réalité de votre organisation.</w:t>
      </w:r>
    </w:p>
    <w:p>
      <w:pPr>
        <w:spacing w:after="600"/>
      </w:pPr>
      <w:r>
        <w:rPr>
          <w:rFonts w:ascii="Georgia" w:hAnsi="Georgia"/>
          <w:b w:val="0"/>
          <w:color w:val="1A1D2E"/>
          <w:sz w:val="22"/>
        </w:rPr>
      </w:r>
    </w:p>
    <w:p>
      <w:pPr>
        <w:spacing w:after="40"/>
        <w:jc w:val="center"/>
      </w:pPr>
      <w:r>
        <w:rPr>
          <w:rFonts w:ascii="Arial" w:hAnsi="Arial"/>
          <w:b/>
          <w:color w:val="1A1D2E"/>
          <w:sz w:val="22"/>
        </w:rPr>
        <w:t>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Version 1.0 · mai 2026</w:t>
      </w:r>
    </w:p>
    <w:p>
      <w:r>
        <w:br w:type="page"/>
      </w:r>
    </w:p>
    <w:p>
      <w:pPr>
        <w:spacing w:before="360" w:after="200"/>
      </w:pPr>
      <w:r>
        <w:rPr>
          <w:rFonts w:ascii="Arial" w:hAnsi="Arial"/>
          <w:b/>
          <w:color w:val="002FA7"/>
          <w:sz w:val="36"/>
        </w:rPr>
        <w:t>Préambule</w:t>
      </w:r>
    </w:p>
    <w:p>
      <w:pPr>
        <w:spacing w:after="120"/>
      </w:pPr>
      <w:r>
        <w:rPr>
          <w:rFonts w:ascii="Georgia" w:hAnsi="Georgia"/>
          <w:b w:val="0"/>
          <w:color w:val="1A1D2E"/>
          <w:sz w:val="22"/>
        </w:rPr>
        <w:t>La démarche DUERP-RPS prend des formes différentes selon la taille de l'organisation, son secteur d'activité et son statut juridique. Les quatre fiches qui suivent proposent des adaptations méthodologiques aux contextes les plus fréquemment rencontrés. Elles ne se substituent pas aux packs sectoriels disponibles sur psychologiedutravail.org, qui contiennent les modèles Word et Excel complets, mais en constituent un complément synthétique.</w:t>
      </w:r>
    </w:p>
    <w:p>
      <w:pPr>
        <w:spacing w:before="360" w:after="200"/>
      </w:pPr>
      <w:r>
        <w:rPr>
          <w:rFonts w:ascii="Arial" w:hAnsi="Arial"/>
          <w:b/>
          <w:color w:val="002FA7"/>
          <w:sz w:val="36"/>
        </w:rPr>
        <w:t>Fiche 1 · TPE et PME (moins de 50 salariés)</w:t>
      </w:r>
    </w:p>
    <w:p>
      <w:pPr>
        <w:spacing w:before="280" w:after="120"/>
      </w:pPr>
      <w:r>
        <w:rPr>
          <w:rFonts w:ascii="Arial" w:hAnsi="Arial"/>
          <w:b/>
          <w:color w:val="1A47B8"/>
          <w:sz w:val="26"/>
        </w:rPr>
        <w:t>Spécificités</w:t>
      </w:r>
    </w:p>
    <w:p>
      <w:pPr>
        <w:spacing w:after="120"/>
      </w:pPr>
      <w:r>
        <w:rPr>
          <w:rFonts w:ascii="Georgia" w:hAnsi="Georgia"/>
          <w:b w:val="0"/>
          <w:color w:val="1A1D2E"/>
          <w:sz w:val="22"/>
        </w:rPr>
        <w:t>Proximité forte entre direction et salariés. Polyvalence des fonctions. Absence fréquente d'instances représentatives du personnel formalisées. Ressources internes limitées (pas de RH, pas de préventeur). Risque de dépendance à la personnalité du dirigeant.</w:t>
      </w:r>
    </w:p>
    <w:p>
      <w:pPr>
        <w:spacing w:before="280" w:after="120"/>
      </w:pPr>
      <w:r>
        <w:rPr>
          <w:rFonts w:ascii="Arial" w:hAnsi="Arial"/>
          <w:b/>
          <w:color w:val="1A47B8"/>
          <w:sz w:val="26"/>
        </w:rPr>
        <w:t>Adaptations méthodologiques</w:t>
      </w:r>
    </w:p>
    <w:p>
      <w:pPr>
        <w:spacing w:after="120"/>
      </w:pPr>
      <w:r>
        <w:rPr>
          <w:rFonts w:ascii="Georgia" w:hAnsi="Georgia"/>
          <w:b w:val="0"/>
          <w:color w:val="1A1D2E"/>
          <w:sz w:val="22"/>
        </w:rPr>
        <w:t>Privilégier les entretiens individuels et les observations sur poste, qui sont plus accessibles que des groupes de travail dans des petits effectifs. Mobiliser le service de prévention et de santé au travail interentreprises pour l'appui méthodologique et l'animation. Consulter le médecin du travail dès la phase de cadrage. Si pas de CSE, consulter directement les salariés via une note d'information et un temps collectif d'échange. Construire un DUERP-RPS court (trente pages maximum) mais complet sur les six familles Gollac.</w:t>
      </w:r>
    </w:p>
    <w:p>
      <w:pPr>
        <w:spacing w:before="280" w:after="120"/>
      </w:pPr>
      <w:r>
        <w:rPr>
          <w:rFonts w:ascii="Arial" w:hAnsi="Arial"/>
          <w:b/>
          <w:color w:val="1A47B8"/>
          <w:sz w:val="26"/>
        </w:rPr>
        <w:t>Indicateurs prioritaires</w:t>
      </w:r>
    </w:p>
    <w:p>
      <w:pPr>
        <w:spacing w:after="120"/>
      </w:pPr>
      <w:r>
        <w:rPr>
          <w:rFonts w:ascii="Georgia" w:hAnsi="Georgia"/>
          <w:b w:val="0"/>
          <w:color w:val="1A1D2E"/>
          <w:sz w:val="22"/>
        </w:rPr>
        <w:t>Turnover, absentéisme, recours au médecin du travail, satisfaction client (qui reflète souvent la qualité du climat interne).</w:t>
      </w:r>
    </w:p>
    <w:p>
      <w:r>
        <w:br w:type="page"/>
      </w:r>
    </w:p>
    <w:p>
      <w:pPr>
        <w:spacing w:before="360" w:after="200"/>
      </w:pPr>
      <w:r>
        <w:rPr>
          <w:rFonts w:ascii="Arial" w:hAnsi="Arial"/>
          <w:b/>
          <w:color w:val="002FA7"/>
          <w:sz w:val="36"/>
        </w:rPr>
        <w:t>Fiche 2 · ETI multi-sites (50 à 5000 salariés, plusieurs établissements)</w:t>
      </w:r>
    </w:p>
    <w:p>
      <w:pPr>
        <w:spacing w:before="280" w:after="120"/>
      </w:pPr>
      <w:r>
        <w:rPr>
          <w:rFonts w:ascii="Arial" w:hAnsi="Arial"/>
          <w:b/>
          <w:color w:val="1A47B8"/>
          <w:sz w:val="26"/>
        </w:rPr>
        <w:t>Spécificités</w:t>
      </w:r>
    </w:p>
    <w:p>
      <w:pPr>
        <w:spacing w:after="120"/>
      </w:pPr>
      <w:r>
        <w:rPr>
          <w:rFonts w:ascii="Georgia" w:hAnsi="Georgia"/>
          <w:b w:val="0"/>
          <w:color w:val="1A1D2E"/>
          <w:sz w:val="22"/>
        </w:rPr>
        <w:t>Hétérogénéité des sites en termes de métier, de management, de culture locale. Présence d'un CSE central et de CSE d'établissement. Risque de moyennisation des constats qui masque les expositions différenciées. Difficulté à comparer entre sites sans hiérarchiser.</w:t>
      </w:r>
    </w:p>
    <w:p>
      <w:pPr>
        <w:spacing w:before="280" w:after="120"/>
      </w:pPr>
      <w:r>
        <w:rPr>
          <w:rFonts w:ascii="Arial" w:hAnsi="Arial"/>
          <w:b/>
          <w:color w:val="1A47B8"/>
          <w:sz w:val="26"/>
        </w:rPr>
        <w:t>Adaptations méthodologiques</w:t>
      </w:r>
    </w:p>
    <w:p>
      <w:pPr>
        <w:spacing w:after="120"/>
      </w:pPr>
      <w:r>
        <w:rPr>
          <w:rFonts w:ascii="Georgia" w:hAnsi="Georgia"/>
          <w:b w:val="0"/>
          <w:color w:val="1A1D2E"/>
          <w:sz w:val="22"/>
        </w:rPr>
        <w:t>Construire un DUERP-RPS par établissement, avec une consolidation au niveau central. Mobiliser un comité de pilotage central et des comités locaux. Différencier les unités de travail selon les particularités de chaque site (effectifs, métiers, public). Articuler les calendriers des CSE locaux et du CSE central. Prévoir une grille commune d'évaluation pour permettre la comparaison inter-sites tout en préservant les spécificités locales.</w:t>
      </w:r>
    </w:p>
    <w:p>
      <w:pPr>
        <w:spacing w:before="280" w:after="120"/>
      </w:pPr>
      <w:r>
        <w:rPr>
          <w:rFonts w:ascii="Arial" w:hAnsi="Arial"/>
          <w:b/>
          <w:color w:val="1A47B8"/>
          <w:sz w:val="26"/>
        </w:rPr>
        <w:t>Indicateurs prioritaires</w:t>
      </w:r>
    </w:p>
    <w:p>
      <w:pPr>
        <w:spacing w:after="120"/>
      </w:pPr>
      <w:r>
        <w:rPr>
          <w:rFonts w:ascii="Georgia" w:hAnsi="Georgia"/>
          <w:b w:val="0"/>
          <w:color w:val="1A1D2E"/>
          <w:sz w:val="22"/>
        </w:rPr>
        <w:t>Indicateurs ventilés par site et par catégorie professionnelle. Comparaisons inter-sites présentées avec prudence (taille, ancienneté, secteur).</w:t>
      </w:r>
    </w:p>
    <w:p>
      <w:r>
        <w:br w:type="page"/>
      </w:r>
    </w:p>
    <w:p>
      <w:pPr>
        <w:spacing w:before="360" w:after="200"/>
      </w:pPr>
      <w:r>
        <w:rPr>
          <w:rFonts w:ascii="Arial" w:hAnsi="Arial"/>
          <w:b/>
          <w:color w:val="002FA7"/>
          <w:sz w:val="36"/>
        </w:rPr>
        <w:t>Fiche 3 · Fonction publique territoriale, d'État et hospitalière</w:t>
      </w:r>
    </w:p>
    <w:p>
      <w:pPr>
        <w:spacing w:before="280" w:after="120"/>
      </w:pPr>
      <w:r>
        <w:rPr>
          <w:rFonts w:ascii="Arial" w:hAnsi="Arial"/>
          <w:b/>
          <w:color w:val="1A47B8"/>
          <w:sz w:val="26"/>
        </w:rPr>
        <w:t>Spécificités</w:t>
      </w:r>
    </w:p>
    <w:p>
      <w:pPr>
        <w:spacing w:after="120"/>
      </w:pPr>
      <w:r>
        <w:rPr>
          <w:rFonts w:ascii="Georgia" w:hAnsi="Georgia"/>
          <w:b w:val="0"/>
          <w:color w:val="1A1D2E"/>
          <w:sz w:val="22"/>
        </w:rPr>
        <w:t>Cadre statutaire spécifique (Code général de la fonction publique). Accord-cadre du 22 octobre 2013 sur la prévention des RPS dans la fonction publique. Instances paritaires propres (CST, F3SCT). Présence d'élus dont les arbitrages politiques influent sur les conditions de travail. Devoir de réserve qui peut limiter l'expression des agents.</w:t>
      </w:r>
    </w:p>
    <w:p>
      <w:pPr>
        <w:spacing w:before="280" w:after="120"/>
      </w:pPr>
      <w:r>
        <w:rPr>
          <w:rFonts w:ascii="Arial" w:hAnsi="Arial"/>
          <w:b/>
          <w:color w:val="1A47B8"/>
          <w:sz w:val="26"/>
        </w:rPr>
        <w:t>Adaptations méthodologiques</w:t>
      </w:r>
    </w:p>
    <w:p>
      <w:pPr>
        <w:spacing w:after="120"/>
      </w:pPr>
      <w:r>
        <w:rPr>
          <w:rFonts w:ascii="Georgia" w:hAnsi="Georgia"/>
          <w:b w:val="0"/>
          <w:color w:val="1A1D2E"/>
          <w:sz w:val="22"/>
        </w:rPr>
        <w:t>S'appuyer sur le guide méthodologique de la DGAFP et sur les ressources de la FNP CDC. Mobiliser le réseau des assistants et conseillers de prévention. Prévoir une consultation formelle du CST avant et après le diagnostic. Pour les services en relation avec le public, accorder une attention spécifique aux incivilités et agressions. Distinguer ce qui relève des conditions de travail (compétence du DUERP) de ce qui relève des orientations politiques (qui ne se traitent pas par cette voie).</w:t>
      </w:r>
    </w:p>
    <w:p>
      <w:pPr>
        <w:spacing w:before="280" w:after="120"/>
      </w:pPr>
      <w:r>
        <w:rPr>
          <w:rFonts w:ascii="Arial" w:hAnsi="Arial"/>
          <w:b/>
          <w:color w:val="1A47B8"/>
          <w:sz w:val="26"/>
        </w:rPr>
        <w:t>Indicateurs prioritaires</w:t>
      </w:r>
    </w:p>
    <w:p>
      <w:pPr>
        <w:spacing w:after="120"/>
      </w:pPr>
      <w:r>
        <w:rPr>
          <w:rFonts w:ascii="Georgia" w:hAnsi="Georgia"/>
          <w:b w:val="0"/>
          <w:color w:val="1A1D2E"/>
          <w:sz w:val="22"/>
        </w:rPr>
        <w:t>Saisines du médecin de prévention, mobilités demandées, incidents avec le public, absentéisme par direction, résultats des baromètres sociaux internes.</w:t>
      </w:r>
    </w:p>
    <w:p>
      <w:r>
        <w:br w:type="page"/>
      </w:r>
    </w:p>
    <w:p>
      <w:pPr>
        <w:spacing w:before="360" w:after="200"/>
      </w:pPr>
      <w:r>
        <w:rPr>
          <w:rFonts w:ascii="Arial" w:hAnsi="Arial"/>
          <w:b/>
          <w:color w:val="002FA7"/>
          <w:sz w:val="36"/>
        </w:rPr>
        <w:t>Fiche 4 · Secteur sanitaire et médico-social</w:t>
      </w:r>
    </w:p>
    <w:p>
      <w:pPr>
        <w:spacing w:before="280" w:after="120"/>
      </w:pPr>
      <w:r>
        <w:rPr>
          <w:rFonts w:ascii="Arial" w:hAnsi="Arial"/>
          <w:b/>
          <w:color w:val="1A47B8"/>
          <w:sz w:val="26"/>
        </w:rPr>
        <w:t>Spécificités</w:t>
      </w:r>
    </w:p>
    <w:p>
      <w:pPr>
        <w:spacing w:after="120"/>
      </w:pPr>
      <w:r>
        <w:rPr>
          <w:rFonts w:ascii="Georgia" w:hAnsi="Georgia"/>
          <w:b w:val="0"/>
          <w:color w:val="1A1D2E"/>
          <w:sz w:val="22"/>
        </w:rPr>
        <w:t>Forte exposition aux exigences émotionnelles (souffrance, fin de vie, agressivité des résidents). Sous-effectif chronique. Multiplicité des conventions collectives (CCN 51, CCN 66, FPH). Logiques tutélaires de l'ARS, des départements, des financeurs. Importance de la nuit et des temps de transmission.</w:t>
      </w:r>
    </w:p>
    <w:p>
      <w:pPr>
        <w:spacing w:before="280" w:after="120"/>
      </w:pPr>
      <w:r>
        <w:rPr>
          <w:rFonts w:ascii="Arial" w:hAnsi="Arial"/>
          <w:b/>
          <w:color w:val="1A47B8"/>
          <w:sz w:val="26"/>
        </w:rPr>
        <w:t>Adaptations méthodologiques</w:t>
      </w:r>
    </w:p>
    <w:p>
      <w:pPr>
        <w:spacing w:after="120"/>
      </w:pPr>
      <w:r>
        <w:rPr>
          <w:rFonts w:ascii="Georgia" w:hAnsi="Georgia"/>
          <w:b w:val="0"/>
          <w:color w:val="1A1D2E"/>
          <w:sz w:val="22"/>
        </w:rPr>
        <w:t>S'appuyer sur les ressources de l'ANFH, de l'OPCO Santé, de la HAS et de l'ANESM. Constituer un comité de pilotage incluant le médecin coordonnateur et le directeur des soins le cas échéant. Prendre au sérieux les temps de transmission comme objet à part entière du diagnostic. Articuler le DUERP-RPS aux évaluations externes (HAS, qualité de vie au travail). Pour les services de nuit, prévoir une démarche spécifique adaptée aux contraintes horaires.</w:t>
      </w:r>
    </w:p>
    <w:p>
      <w:pPr>
        <w:spacing w:before="280" w:after="120"/>
      </w:pPr>
      <w:r>
        <w:rPr>
          <w:rFonts w:ascii="Arial" w:hAnsi="Arial"/>
          <w:b/>
          <w:color w:val="1A47B8"/>
          <w:sz w:val="26"/>
        </w:rPr>
        <w:t>Indicateurs prioritaires</w:t>
      </w:r>
    </w:p>
    <w:p>
      <w:pPr>
        <w:spacing w:after="120"/>
      </w:pPr>
      <w:r>
        <w:rPr>
          <w:rFonts w:ascii="Georgia" w:hAnsi="Georgia"/>
          <w:b w:val="0"/>
          <w:color w:val="1A1D2E"/>
          <w:sz w:val="22"/>
        </w:rPr>
        <w:t>Taux d'absentéisme et de turnover par service, recours à l'intérim, signalements d'événements indésirables, participation aux temps d'échange clinique, indicateurs HAS.</w:t>
      </w:r>
    </w:p>
    <w:p>
      <w:r>
        <w:br w:type="page"/>
      </w:r>
    </w:p>
    <w:p>
      <w:pPr>
        <w:spacing w:before="360" w:after="200"/>
      </w:pPr>
      <w:r>
        <w:rPr>
          <w:rFonts w:ascii="Arial" w:hAnsi="Arial"/>
          <w:b/>
          <w:color w:val="002FA7"/>
          <w:sz w:val="36"/>
        </w:rPr>
        <w:t>Pour aller plus loin</w:t>
      </w:r>
    </w:p>
    <w:p>
      <w:pPr>
        <w:spacing w:after="120"/>
      </w:pPr>
      <w:r>
        <w:rPr>
          <w:rFonts w:ascii="Georgia" w:hAnsi="Georgia"/>
          <w:b w:val="0"/>
          <w:color w:val="1A1D2E"/>
          <w:sz w:val="22"/>
        </w:rPr>
        <w:t>L'ouvrage Le guide complet RPS et QVCT, du diagnostic à l'action développe au chapitre 13 les spécificités sectorielles, et propose huit packs sectoriels complets (modèle Word, classeur Excel de cotation, guide d'utilisation) téléchargeables gratuitement sur psychologiedutravail.org/DUERP.</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Kit DUERP-RPS · Outil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Outil 13 · Fiches sectorielles</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