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r>
        <w:t xml:space="preserve"/>
      </w:r>
    </w:p>
    <w:p>
      <w:pPr>
        <w:spacing w:after="400" w:before="0"/>
        <w:jc w:val="center"/>
      </w:pPr>
      <w:r>
        <w:rPr>
          <w:rFonts w:ascii="Arial" w:cs="Arial" w:eastAsia="Arial" w:hAnsi="Arial"/>
          <w:b/>
          <w:bCs/>
          <w:color w:val="002FA7"/>
          <w:sz w:val="96"/>
          <w:szCs w:val="96"/>
        </w:rPr>
        <w:t xml:space="preserve">Ψ</w:t>
      </w:r>
    </w:p>
    <w:p>
      <w:pPr>
        <w:spacing w:after="200" w:before="0"/>
        <w:jc w:val="center"/>
      </w:pPr>
      <w:r>
        <w:rPr>
          <w:rFonts w:ascii="Arial" w:cs="Arial" w:eastAsia="Arial" w:hAnsi="Arial"/>
          <w:b/>
          <w:bCs/>
          <w:color w:val="002FA7"/>
          <w:sz w:val="40"/>
          <w:szCs w:val="40"/>
        </w:rPr>
        <w:t xml:space="preserve">Trame de fiche-action</w:t>
      </w:r>
    </w:p>
    <w:p>
      <w:pPr>
        <w:spacing w:after="400" w:before="0"/>
        <w:jc w:val="center"/>
      </w:pPr>
      <w:r>
        <w:rPr>
          <w:rFonts w:ascii="Georgia" w:cs="Georgia" w:eastAsia="Georgia" w:hAnsi="Georgia"/>
          <w:i/>
          <w:iCs/>
          <w:color w:val="5A607A"/>
          <w:sz w:val="28"/>
          <w:szCs w:val="28"/>
        </w:rPr>
        <w:t xml:space="preserve">Plan de prévention DUERP-RPS</w:t>
      </w:r>
    </w:p>
    <w:p>
      <w:pPr>
        <w:spacing w:after="400" w:before="200"/>
        <w:jc w:val="center"/>
      </w:pPr>
      <w:r>
        <w:rPr>
          <w:rFonts w:ascii="Georgia" w:cs="Georgia" w:eastAsia="Georgia" w:hAnsi="Georgia"/>
          <w:i/>
          <w:iCs/>
          <w:color w:val="5A607A"/>
          <w:sz w:val="20"/>
          <w:szCs w:val="20"/>
        </w:rPr>
        <w:t xml:space="preserve">Outil n°10 du kit · psychologiedutravail.org/duerp-plan-prevention</w:t>
      </w:r>
    </w:p>
    <w:p>
      <w:r>
        <w:br w:type="page"/>
      </w:r>
    </w:p>
    <w:p>
      <w:pPr>
        <w:pStyle w:val="Heading1"/>
      </w:pPr>
      <w:r>
        <w:t xml:space="preserve">Mode d'emploi</w:t>
      </w:r>
    </w:p>
    <w:p>
      <w:pPr>
        <w:spacing w:after="80" w:before="80" w:line="320"/>
        <w:jc w:val="both"/>
      </w:pPr>
      <w:r>
        <w:rPr>
          <w:rFonts w:ascii="Georgia" w:cs="Georgia" w:eastAsia="Georgia" w:hAnsi="Georgia"/>
          <w:color w:val="1A1D2E"/>
          <w:sz w:val="22"/>
          <w:szCs w:val="22"/>
        </w:rPr>
        <w:t xml:space="preserve">Cette trame propose un modèle de fiche-action structuré en huit rubriques pour la formalisation du plan de prévention RPS dans le DUERP. Elle est conçue pour être reproduite autant de fois qu'il y a d'actions identifiées dans le plan, et pour s'articuler au programme annuel de prévention obligatoire pour les organisations de cinquante salariés et plus. La rigueur de remplissage est ce qui distingue un plan d'action utile d'une déclaration d'intention.</w:t>
      </w:r>
    </w:p>
    <w:p>
      <w:pPr>
        <w:spacing w:after="80" w:before="80" w:line="320"/>
        <w:jc w:val="both"/>
      </w:pPr>
      <w:r>
        <w:rPr>
          <w:rFonts w:ascii="Georgia" w:cs="Georgia" w:eastAsia="Georgia" w:hAnsi="Georgia"/>
          <w:color w:val="1A1D2E"/>
          <w:sz w:val="22"/>
          <w:szCs w:val="22"/>
        </w:rPr>
        <w:t xml:space="preserve">La trame est livrée en deux formats. La version Word, présentée dans la suite de ce document, propose une fiche par action à dupliquer et compléter. La version Excel (fichier complémentaire) consolide l'ensemble des actions du plan dans un tableur unique qui facilite le pilotage transverse, la consultation du CSE, et l'articulation au PAPRIPACT pour les organisations qui y sont tenues.</w:t>
      </w:r>
    </w:p>
    <w:p>
      <w:pPr>
        <w:pBdr>
          <w:left w:val="single" w:color="002FA7" w:sz="24" w:space="8"/>
        </w:pBdr>
        <w:shd w:fill="E8F0FA" w:color="auto" w:val="clear"/>
        <w:spacing w:after="60" w:before="200"/>
        <w:ind w:left="200"/>
      </w:pPr>
      <w:r>
        <w:rPr>
          <w:rFonts w:ascii="Arial" w:cs="Arial" w:eastAsia="Arial" w:hAnsi="Arial"/>
          <w:b/>
          <w:bCs/>
          <w:color w:val="002FA7"/>
          <w:sz w:val="22"/>
          <w:szCs w:val="22"/>
        </w:rPr>
        <w:t xml:space="preserve">Rappel des principes du chapitre 10</w:t>
      </w:r>
    </w:p>
    <w:p>
      <w:pPr>
        <w:pBdr>
          <w:left w:val="single" w:color="002FA7" w:sz="24" w:space="8"/>
        </w:pBdr>
        <w:shd w:fill="E8F0FA" w:color="auto" w:val="clear"/>
        <w:spacing w:after="200" w:before="40" w:line="300"/>
        <w:ind w:left="200"/>
        <w:jc w:val="both"/>
      </w:pPr>
      <w:r>
        <w:rPr>
          <w:rFonts w:ascii="Georgia" w:cs="Georgia" w:eastAsia="Georgia" w:hAnsi="Georgia"/>
          <w:color w:val="1A1D2E"/>
          <w:sz w:val="21"/>
          <w:szCs w:val="21"/>
        </w:rPr>
        <w:t xml:space="preserve">Une action n'est pilotable que si elle est formulée précisément : qui fait quoi, quand, avec quels moyens, vérifié par quel indicateur. Les formulations vagues (sensibiliser le personnel, améliorer le climat, favoriser le dialogue) ne tiennent pas. Les formulations précises (mettre en place une réunion mensuelle de régulation entre l'encadrement intermédiaire et les équipes soignantes, animée par le cadre supérieur de santé, à compter du 1er février, suivie par le taux de participation et l'évolution du score JCQ de l'unité) sont juridiquement traçables et opérationnellement pilotables.</w:t>
      </w:r>
    </w:p>
    <w:p>
      <w:r>
        <w:br w:type="page"/>
      </w:r>
    </w:p>
    <w:p>
      <w:pPr>
        <w:pStyle w:val="Heading1"/>
      </w:pPr>
      <w:r>
        <w:t xml:space="preserve">Trame de fiche-action</w:t>
      </w:r>
    </w:p>
    <w:p>
      <w:pPr>
        <w:pBdr>
          <w:top w:val="single" w:color="002FA7" w:sz="8"/>
          <w:bottom w:val="single" w:color="002FA7" w:sz="8"/>
          <w:left w:val="single" w:color="002FA7" w:sz="8"/>
          <w:right w:val="single" w:color="002FA7" w:sz="8"/>
        </w:pBdr>
        <w:shd w:fill="002FA7" w:color="auto" w:val="clear"/>
        <w:spacing w:after="120" w:before="240"/>
        <w:jc w:val="center"/>
      </w:pPr>
      <w:r>
        <w:rPr>
          <w:rFonts w:ascii="Arial" w:cs="Arial" w:eastAsia="Arial" w:hAnsi="Arial"/>
          <w:b/>
          <w:bCs/>
          <w:color w:val="FFFFFF"/>
          <w:sz w:val="26"/>
          <w:szCs w:val="26"/>
        </w:rPr>
        <w:t xml:space="preserve">  FICHE-ACTION N°____ · DUERP-RPS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1. Facteur de risque ciblé</w:t>
            </w:r>
          </w:p>
          <w:p>
            <w:pPr>
              <w:spacing w:line="280"/>
              <w:jc w:val="both"/>
            </w:pPr>
            <w:r>
              <w:rPr>
                <w:rFonts w:ascii="Georgia" w:cs="Georgia" w:eastAsia="Georgia" w:hAnsi="Georgia"/>
                <w:i w:val="false"/>
                <w:iCs w:val="false"/>
                <w:color w:val="1A1D2E"/>
                <w:sz w:val="21"/>
                <w:szCs w:val="21"/>
              </w:rPr>
              <w:t xml:space="preserve">[À renseigner] Préciser la famille Gollac concernée (1 à 6), l'unité de travail visée, et la référence à la cotation correspondante dans le DUERP. Cette identification précise rattache l'action au diagnostic.</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2. Niveau de prévention</w:t>
            </w:r>
          </w:p>
          <w:p>
            <w:pPr>
              <w:spacing w:line="280"/>
              <w:jc w:val="both"/>
            </w:pPr>
            <w:r>
              <w:rPr>
                <w:rFonts w:ascii="Georgia" w:cs="Georgia" w:eastAsia="Georgia" w:hAnsi="Georgia"/>
                <w:i/>
                <w:iCs/>
                <w:color w:val="1A1D2E"/>
                <w:sz w:val="21"/>
                <w:szCs w:val="21"/>
              </w:rPr>
              <w:t xml:space="preserve">[À cocher] □ Primaire (agir sur les causes : organisation, prescription, ressources) — □ Secondaire (renforcer les ressources individuelles et collectives) — □ Tertiaire (prendre en charge les dommages installés). Rappel : priorité légale au niveau primaire.</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3. Description de l'action</w:t>
            </w:r>
          </w:p>
          <w:p>
            <w:pPr>
              <w:spacing w:line="280"/>
              <w:jc w:val="both"/>
            </w:pPr>
            <w:r>
              <w:rPr>
                <w:rFonts w:ascii="Georgia" w:cs="Georgia" w:eastAsia="Georgia" w:hAnsi="Georgia"/>
                <w:i w:val="false"/>
                <w:iCs w:val="false"/>
                <w:color w:val="1A1D2E"/>
                <w:sz w:val="21"/>
                <w:szCs w:val="21"/>
              </w:rPr>
              <w:t xml:space="preserve">[À renseigner] Formulation précise : qui fait quoi, comment, à quelle fréquence, à compter de quelle date. Éviter les formules vagues. Une action bien formulée se reconnaît à ce qu'un observateur extérieur peut vérifier sans ambiguïté qu'elle a ou n'a pas été mise en oeuvre.</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4. Pilote responsable</w:t>
            </w:r>
          </w:p>
          <w:p>
            <w:pPr>
              <w:spacing w:line="280"/>
              <w:jc w:val="both"/>
            </w:pPr>
            <w:r>
              <w:rPr>
                <w:rFonts w:ascii="Georgia" w:cs="Georgia" w:eastAsia="Georgia" w:hAnsi="Georgia"/>
                <w:i w:val="false"/>
                <w:iCs w:val="false"/>
                <w:color w:val="1A1D2E"/>
                <w:sz w:val="21"/>
                <w:szCs w:val="21"/>
              </w:rPr>
              <w:t xml:space="preserve">[À renseigner] Nom et fonction de la personne désignée comme responsable de la conduite de l'action. Une seule personne, identifiée explicitement. Sans pilote nommé, l'action ne se met pas en oeuvre.</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5. Calendrier</w:t>
            </w:r>
          </w:p>
          <w:p>
            <w:pPr>
              <w:spacing w:line="280"/>
              <w:jc w:val="both"/>
            </w:pPr>
            <w:r>
              <w:rPr>
                <w:rFonts w:ascii="Georgia" w:cs="Georgia" w:eastAsia="Georgia" w:hAnsi="Georgia"/>
                <w:i w:val="false"/>
                <w:iCs w:val="false"/>
                <w:color w:val="1A1D2E"/>
                <w:sz w:val="21"/>
                <w:szCs w:val="21"/>
              </w:rPr>
              <w:t xml:space="preserve">[À renseigner] Date de lancement, jalons intermédiaires si pertinents, date de pleine mise en oeuvre. Pour les actions inscrites au PAPRIPACT, préciser le rattachement à l'année de référence.</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6. Ressources nécessaires</w:t>
            </w:r>
          </w:p>
          <w:p>
            <w:pPr>
              <w:spacing w:line="280"/>
              <w:jc w:val="both"/>
            </w:pPr>
            <w:r>
              <w:rPr>
                <w:rFonts w:ascii="Georgia" w:cs="Georgia" w:eastAsia="Georgia" w:hAnsi="Georgia"/>
                <w:i w:val="false"/>
                <w:iCs w:val="false"/>
                <w:color w:val="1A1D2E"/>
                <w:sz w:val="21"/>
                <w:szCs w:val="21"/>
              </w:rPr>
              <w:t xml:space="preserve">[À renseigner] Ressources humaines (temps interne, intervenant externe), financières (budget estimé), matérielles (locaux, outils). L'estimation peut être large dans un premier temps, à affiner lors de la consultation du CSE.</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7. Indicateurs de suivi</w:t>
            </w:r>
          </w:p>
          <w:p>
            <w:pPr>
              <w:spacing w:line="280"/>
              <w:jc w:val="both"/>
            </w:pPr>
            <w:r>
              <w:rPr>
                <w:rFonts w:ascii="Georgia" w:cs="Georgia" w:eastAsia="Georgia" w:hAnsi="Georgia"/>
                <w:i w:val="false"/>
                <w:iCs w:val="false"/>
                <w:color w:val="1A1D2E"/>
                <w:sz w:val="21"/>
                <w:szCs w:val="21"/>
              </w:rPr>
              <w:t xml:space="preserve">[À renseigner] Au moins deux indicateurs : un indicateur de mise en oeuvre (l'action est-elle conduite comme prévu ?) et un indicateur d'effet (les facteurs ciblés évoluent-ils ?). Préciser la fréquence de mesure et la source de données.</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8. Statut d'avancement</w:t>
            </w:r>
          </w:p>
          <w:p>
            <w:pPr>
              <w:spacing w:line="280"/>
              <w:jc w:val="both"/>
            </w:pPr>
            <w:r>
              <w:rPr>
                <w:rFonts w:ascii="Georgia" w:cs="Georgia" w:eastAsia="Georgia" w:hAnsi="Georgia"/>
                <w:i/>
                <w:iCs/>
                <w:color w:val="1A1D2E"/>
                <w:sz w:val="21"/>
                <w:szCs w:val="21"/>
              </w:rPr>
              <w:t xml:space="preserve">[À mettre à jour à chaque révision du DUERP] □ À lancer — □ En cours — □ Réalisé — □ Abandonné (motif). Le statut est révisé au minimum annuellement et à chaque mise à jour événementielle.</w:t>
            </w:r>
          </w:p>
        </w:tc>
      </w:tr>
    </w:tbl>
    <w:p>
      <w:pPr>
        <w:spacing w:after="120" w:before="320"/>
        <w:jc w:val="left"/>
      </w:pPr>
      <w:r>
        <w:rPr>
          <w:rFonts w:ascii="Arial" w:cs="Arial" w:eastAsia="Arial" w:hAnsi="Arial"/>
          <w:b/>
          <w:bCs/>
          <w:color w:val="1A47B8"/>
          <w:sz w:val="22"/>
          <w:szCs w:val="22"/>
        </w:rPr>
        <w:t xml:space="preserve">Origine et traçabilité</w:t>
      </w:r>
    </w:p>
    <w:p>
      <w:pPr>
        <w:spacing w:after="80" w:before="80" w:line="320"/>
        <w:jc w:val="both"/>
      </w:pPr>
      <w:r>
        <w:rPr>
          <w:rFonts w:ascii="Georgia" w:cs="Georgia" w:eastAsia="Georgia" w:hAnsi="Georgia"/>
          <w:color w:val="1A1D2E"/>
          <w:sz w:val="22"/>
          <w:szCs w:val="22"/>
        </w:rPr>
        <w:t xml:space="preserve">[À renseigner] Préciser à quel élément du diagnostic la fiche se rattache : cotation au DUERP (référence et date), espace de discussion (date et unité), signalement (source et date), retour de questionnaire (campagne et résultats), événement (date et nature). Cette traçabilité protège juridiquement et facilite la révision.</w:t>
      </w:r>
    </w:p>
    <w:p>
      <w:pPr>
        <w:spacing w:after="120" w:before="200"/>
        <w:jc w:val="left"/>
      </w:pPr>
      <w:r>
        <w:rPr>
          <w:rFonts w:ascii="Arial" w:cs="Arial" w:eastAsia="Arial" w:hAnsi="Arial"/>
          <w:b/>
          <w:bCs/>
          <w:color w:val="1A47B8"/>
          <w:sz w:val="22"/>
          <w:szCs w:val="22"/>
        </w:rPr>
        <w:t xml:space="preserve">Consultation du CSE</w:t>
      </w:r>
    </w:p>
    <w:p>
      <w:pPr>
        <w:spacing w:after="80" w:before="80" w:line="320"/>
        <w:jc w:val="both"/>
      </w:pPr>
      <w:r>
        <w:rPr>
          <w:rFonts w:ascii="Georgia" w:cs="Georgia" w:eastAsia="Georgia" w:hAnsi="Georgia"/>
          <w:color w:val="1A1D2E"/>
          <w:sz w:val="22"/>
          <w:szCs w:val="22"/>
        </w:rPr>
        <w:t xml:space="preserve">[À renseigner] Date de présentation au CSE, avis formulé (favorable, défavorable, avec recommandations), recommandations du CSE et suites données. La consultation formelle est obligatoire ; l'avis du CSE rejoint les annexes du DUERP.</w:t>
      </w:r>
    </w:p>
    <w:p>
      <w:r>
        <w:br w:type="page"/>
      </w:r>
    </w:p>
    <w:p>
      <w:pPr>
        <w:pStyle w:val="Heading1"/>
      </w:pPr>
      <w:r>
        <w:t xml:space="preserve">Exemple complété — pour référence</w:t>
      </w:r>
    </w:p>
    <w:p>
      <w:pPr>
        <w:spacing w:after="80" w:before="80" w:line="320"/>
        <w:jc w:val="both"/>
      </w:pPr>
      <w:r>
        <w:rPr>
          <w:rFonts w:ascii="Georgia" w:cs="Georgia" w:eastAsia="Georgia" w:hAnsi="Georgia"/>
          <w:color w:val="1A1D2E"/>
          <w:sz w:val="22"/>
          <w:szCs w:val="22"/>
        </w:rPr>
        <w:t xml:space="preserve">L'exemple ci-dessous illustre la rigueur de formulation attendue. Il est tiré d'une démarche conduite dans un EHPAD (cas composite "Les Alisiers") avec une équipe soignante exposée à un cumul d'intensité et d'exigences émotionnelles.</w:t>
      </w:r>
    </w:p>
    <w:p>
      <w:pPr>
        <w:pBdr>
          <w:top w:val="single" w:color="002FA7" w:sz="8"/>
          <w:bottom w:val="single" w:color="002FA7" w:sz="8"/>
          <w:left w:val="single" w:color="002FA7" w:sz="8"/>
          <w:right w:val="single" w:color="002FA7" w:sz="8"/>
        </w:pBdr>
        <w:shd w:fill="002FA7" w:color="auto" w:val="clear"/>
        <w:spacing w:after="120" w:before="240"/>
        <w:jc w:val="center"/>
      </w:pPr>
      <w:r>
        <w:rPr>
          <w:rFonts w:ascii="Arial" w:cs="Arial" w:eastAsia="Arial" w:hAnsi="Arial"/>
          <w:b/>
          <w:bCs/>
          <w:color w:val="FFFFFF"/>
          <w:sz w:val="24"/>
          <w:szCs w:val="24"/>
        </w:rPr>
        <w:t xml:space="preserve">  FICHE-ACTION N°3 · EXEMPLE DE RÉFÉRENCE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1. Facteur de risque ciblé</w:t>
            </w:r>
          </w:p>
          <w:p>
            <w:pPr>
              <w:spacing w:line="280"/>
              <w:jc w:val="both"/>
            </w:pPr>
            <w:r>
              <w:rPr>
                <w:rFonts w:ascii="Georgia" w:cs="Georgia" w:eastAsia="Georgia" w:hAnsi="Georgia"/>
                <w:i/>
                <w:iCs/>
                <w:color w:val="1A1D2E"/>
                <w:sz w:val="21"/>
                <w:szCs w:val="21"/>
              </w:rPr>
              <w:t xml:space="preserve">Famille 2 (exigences émotionnelles) et famille 5 (conflits de valeurs sur la qualité de soin empêchée). Unité de travail UT4 (équipe soignante de nuit). Cotation actuelle au DUERP : critique (référence DUERP 2026 v.3, ligne 14).</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2. Niveau de prévention</w:t>
            </w:r>
          </w:p>
          <w:p>
            <w:pPr>
              <w:spacing w:line="280"/>
              <w:jc w:val="both"/>
            </w:pPr>
            <w:r>
              <w:rPr>
                <w:rFonts w:ascii="Georgia" w:cs="Georgia" w:eastAsia="Georgia" w:hAnsi="Georgia"/>
                <w:i/>
                <w:iCs/>
                <w:color w:val="1A1D2E"/>
                <w:sz w:val="21"/>
                <w:szCs w:val="21"/>
              </w:rPr>
              <w:t xml:space="preserve">□ Primaire ✓  □ Secondaire  □ Tertiaire — Action de prévention primaire ciblant les causes organisationnelles.</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3. Description de l'action</w:t>
            </w:r>
          </w:p>
          <w:p>
            <w:pPr>
              <w:spacing w:line="280"/>
              <w:jc w:val="both"/>
            </w:pPr>
            <w:r>
              <w:rPr>
                <w:rFonts w:ascii="Georgia" w:cs="Georgia" w:eastAsia="Georgia" w:hAnsi="Georgia"/>
                <w:i/>
                <w:iCs/>
                <w:color w:val="1A1D2E"/>
                <w:sz w:val="21"/>
                <w:szCs w:val="21"/>
              </w:rPr>
              <w:t xml:space="preserve">Mettre en place une analyse des pratiques mensuelle (deux heures, douze séances annuelles) pour l'équipe soignante de nuit, animée par un psychologue clinicien externe formé à l'analyse de l'activité, sur les temps de travail, avec planification dès le 1er février 2026. Inclure systématiquement un débriefing collectif post-incident grave.</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4. Pilote responsable</w:t>
            </w:r>
          </w:p>
          <w:p>
            <w:pPr>
              <w:spacing w:line="280"/>
              <w:jc w:val="both"/>
            </w:pPr>
            <w:r>
              <w:rPr>
                <w:rFonts w:ascii="Georgia" w:cs="Georgia" w:eastAsia="Georgia" w:hAnsi="Georgia"/>
                <w:i/>
                <w:iCs/>
                <w:color w:val="1A1D2E"/>
                <w:sz w:val="21"/>
                <w:szCs w:val="21"/>
              </w:rPr>
              <w:t xml:space="preserve">Cadre supérieur de santé, en lien avec la directrice de l'établissement.</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5. Calendrier</w:t>
            </w:r>
          </w:p>
          <w:p>
            <w:pPr>
              <w:spacing w:line="280"/>
              <w:jc w:val="both"/>
            </w:pPr>
            <w:r>
              <w:rPr>
                <w:rFonts w:ascii="Georgia" w:cs="Georgia" w:eastAsia="Georgia" w:hAnsi="Georgia"/>
                <w:i/>
                <w:iCs/>
                <w:color w:val="1A1D2E"/>
                <w:sz w:val="21"/>
                <w:szCs w:val="21"/>
              </w:rPr>
              <w:t xml:space="preserve">Lancement : 1er février 2026. Première séance : semaine 6. Bilan intermédiaire : juin 2026. Pleine mise en oeuvre (douze séances) : décembre 2026. Reconduction à examiner lors du bilan annuel.</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6. Ressources nécessaires</w:t>
            </w:r>
          </w:p>
          <w:p>
            <w:pPr>
              <w:spacing w:line="280"/>
              <w:jc w:val="both"/>
            </w:pPr>
            <w:r>
              <w:rPr>
                <w:rFonts w:ascii="Georgia" w:cs="Georgia" w:eastAsia="Georgia" w:hAnsi="Georgia"/>
                <w:i/>
                <w:iCs/>
                <w:color w:val="1A1D2E"/>
                <w:sz w:val="21"/>
                <w:szCs w:val="21"/>
              </w:rPr>
              <w:t xml:space="preserve">Intervenant externe psychologue : 12 séances de 2h + 4h coordination = 28h, budget estimé 4 200 euros TTC. Temps soignants : 12 séances × 8 personnes × 2h = 192h en temps de travail. Salle dédiée à prévoir.</w:t>
            </w:r>
          </w:p>
        </w:tc>
      </w:tr>
      <w:tr>
        <w:tc>
          <w:tcPr>
            <w:tcW w:type="dxa" w:w="9360"/>
            <w:tcBorders>
              <w:top w:val="single" w:color="CCCCCC" w:sz="4"/>
              <w:left w:val="single" w:color="CCCCCC" w:sz="4"/>
              <w:bottom w:val="single" w:color="CCCCCC" w:sz="4"/>
              <w:right w:val="single" w:color="CCCCCC" w:sz="4"/>
            </w:tcBorders>
            <w:shd w:fill="E8F0FA"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7. Indicateurs de suivi</w:t>
            </w:r>
          </w:p>
          <w:p>
            <w:pPr>
              <w:spacing w:line="280"/>
              <w:jc w:val="both"/>
            </w:pPr>
            <w:r>
              <w:rPr>
                <w:rFonts w:ascii="Georgia" w:cs="Georgia" w:eastAsia="Georgia" w:hAnsi="Georgia"/>
                <w:i/>
                <w:iCs/>
                <w:color w:val="1A1D2E"/>
                <w:sz w:val="21"/>
                <w:szCs w:val="21"/>
              </w:rPr>
              <w:t xml:space="preserve">Indicateur de mise en oeuvre : nombre de séances effectivement tenues sur l'année, taux moyen de participation. Indicateur d'effet : évolution du taux d'absentéisme nuit, évolution du score Karasek de l'unité (campagne JCQ T1 et T4). Fréquence : trimestrielle pour la mise en oeuvre, semestrielle pour l'effet.</w:t>
            </w:r>
          </w:p>
        </w:tc>
      </w:tr>
      <w:tr>
        <w:tc>
          <w:tcPr>
            <w:tcW w:type="dxa" w:w="9360"/>
            <w:tcBorders>
              <w:top w:val="single" w:color="CCCCCC" w:sz="4"/>
              <w:left w:val="single" w:color="CCCCCC" w:sz="4"/>
              <w:bottom w:val="single" w:color="CCCCCC" w:sz="4"/>
              <w:right w:val="single" w:color="CCCCCC" w:sz="4"/>
            </w:tcBorders>
            <w:shd w:fill="FFFFFF" w:val="clear"/>
            <w:tcMar>
              <w:top w:type="dxa" w:w="140"/>
              <w:left w:type="dxa" w:w="160"/>
              <w:bottom w:type="dxa" w:w="140"/>
              <w:right w:type="dxa" w:w="160"/>
            </w:tcMar>
          </w:tcPr>
          <w:p>
            <w:pPr>
              <w:spacing w:after="60"/>
            </w:pPr>
            <w:r>
              <w:rPr>
                <w:rFonts w:ascii="Arial" w:cs="Arial" w:eastAsia="Arial" w:hAnsi="Arial"/>
                <w:b/>
                <w:bCs/>
                <w:color w:val="002FA7"/>
                <w:sz w:val="22"/>
                <w:szCs w:val="22"/>
              </w:rPr>
              <w:t xml:space="preserve">8. Statut d'avancement</w:t>
            </w:r>
          </w:p>
          <w:p>
            <w:pPr>
              <w:spacing w:line="280"/>
              <w:jc w:val="both"/>
            </w:pPr>
            <w:r>
              <w:rPr>
                <w:rFonts w:ascii="Georgia" w:cs="Georgia" w:eastAsia="Georgia" w:hAnsi="Georgia"/>
                <w:i/>
                <w:iCs/>
                <w:color w:val="1A1D2E"/>
                <w:sz w:val="21"/>
                <w:szCs w:val="21"/>
              </w:rPr>
              <w:t xml:space="preserve">□ À lancer ✓  □ En cours  □ Réalisé  □ Abandonné — Statut au 15/12/2025. À actualiser lors du bilan annuel.</w:t>
            </w:r>
          </w:p>
        </w:tc>
      </w:tr>
    </w:tbl>
    <w:p>
      <w:pPr>
        <w:spacing w:after="120" w:before="320"/>
        <w:jc w:val="left"/>
      </w:pPr>
      <w:r>
        <w:rPr>
          <w:rFonts w:ascii="Arial" w:cs="Arial" w:eastAsia="Arial" w:hAnsi="Arial"/>
          <w:b/>
          <w:bCs/>
          <w:color w:val="1A47B8"/>
          <w:sz w:val="22"/>
          <w:szCs w:val="22"/>
        </w:rPr>
        <w:t xml:space="preserve">Origine et traçabilité</w:t>
      </w:r>
    </w:p>
    <w:p>
      <w:pPr>
        <w:spacing w:after="80" w:before="80" w:line="320"/>
        <w:jc w:val="both"/>
      </w:pPr>
      <w:r>
        <w:rPr>
          <w:rFonts w:ascii="Georgia" w:cs="Georgia" w:eastAsia="Georgia" w:hAnsi="Georgia"/>
          <w:color w:val="1A1D2E"/>
          <w:sz w:val="22"/>
          <w:szCs w:val="22"/>
        </w:rPr>
        <w:t xml:space="preserve">Cotation critique au DUERP 2026 v.3 sur les familles 2 et 5 de l'UT4. Espace de discussion conduit sur l'unité le 12/11/2025 ayant fait remonter le besoin d'un dispositif de régulation collective. Signalement de la médecine du travail du 03/10/2025 concernant trois arrêts longs successifs sur l'équipe de nuit. Configuration souffrance éthique caractérisée au sens du chapitre 4.</w:t>
      </w:r>
    </w:p>
    <w:p>
      <w:pPr>
        <w:spacing w:after="120" w:before="200"/>
        <w:jc w:val="left"/>
      </w:pPr>
      <w:r>
        <w:rPr>
          <w:rFonts w:ascii="Arial" w:cs="Arial" w:eastAsia="Arial" w:hAnsi="Arial"/>
          <w:b/>
          <w:bCs/>
          <w:color w:val="1A47B8"/>
          <w:sz w:val="22"/>
          <w:szCs w:val="22"/>
        </w:rPr>
        <w:t xml:space="preserve">Consultation du CSE</w:t>
      </w:r>
    </w:p>
    <w:p>
      <w:pPr>
        <w:spacing w:after="80" w:before="80" w:line="320"/>
        <w:jc w:val="both"/>
      </w:pPr>
      <w:r>
        <w:rPr>
          <w:rFonts w:ascii="Georgia" w:cs="Georgia" w:eastAsia="Georgia" w:hAnsi="Georgia"/>
          <w:color w:val="1A1D2E"/>
          <w:sz w:val="22"/>
          <w:szCs w:val="22"/>
        </w:rPr>
        <w:t xml:space="preserve">Présentation au CSE le 09/12/2025. Avis favorable avec recommandation de prévoir une évaluation indépendante à mi-parcours. Recommandation intégrée : bilan intermédiaire prévu en juin 2026 avec restitution au CSE.</w:t>
      </w:r>
    </w:p>
    <w:p>
      <w:pPr>
        <w:spacing w:after="0" w:before="400"/>
        <w:jc w:val="center"/>
      </w:pPr>
      <w:r>
        <w:rPr>
          <w:rFonts w:ascii="Arial" w:cs="Arial" w:eastAsia="Arial" w:hAnsi="Arial"/>
          <w:color w:val="002FA7"/>
          <w:sz w:val="18"/>
          <w:szCs w:val="18"/>
        </w:rPr>
        <w:t xml:space="preserve">Anthony Moulin · Psychologue du travail · </w:t>
      </w:r>
      <w:r>
        <w:rPr>
          <w:rFonts w:ascii="Arial" w:cs="Arial" w:eastAsia="Arial" w:hAnsi="Arial"/>
          <w:i/>
          <w:iCs/>
          <w:color w:val="002FA7"/>
          <w:sz w:val="18"/>
          <w:szCs w:val="18"/>
        </w:rPr>
        <w:t xml:space="preserve">psychologiedutravail.org/duerp-plan-prevention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607A"/>
        <w:sz w:val="16"/>
        <w:szCs w:val="16"/>
      </w:rPr>
      <w:t xml:space="preserve">« </w:t>
    </w:r>
    <w:r>
      <w:rPr>
        <w:rFonts w:ascii="Arial" w:cs="Arial" w:eastAsia="Arial" w:hAnsi="Arial"/>
        <w:color w:val="5A607A"/>
        <w:sz w:val="16"/>
        <w:szCs w:val="16"/>
      </w:rPr>
      <w:fldChar w:fldCharType="begin"/>
      <w:instrText xml:space="preserve">PAGE</w:instrText>
      <w:fldChar w:fldCharType="separate"/>
      <w:fldChar w:fldCharType="end"/>
    </w:r>
    <w:r>
      <w:rPr>
        <w:rFonts w:ascii="Arial" w:cs="Arial" w:eastAsia="Arial" w:hAnsi="Arial"/>
        <w:color w:val="5A607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2FA7" w:sz="8" w:space="4"/>
      </w:pBdr>
      <w:jc w:val="left"/>
    </w:pPr>
    <w:r>
      <w:rPr>
        <w:rFonts w:ascii="Arial" w:cs="Arial" w:eastAsia="Arial" w:hAnsi="Arial"/>
        <w:b/>
        <w:bCs/>
        <w:color w:val="002FA7"/>
        <w:sz w:val="18"/>
        <w:szCs w:val="18"/>
      </w:rPr>
      <w:t xml:space="preserve">Ψ  </w:t>
    </w:r>
    <w:r>
      <w:rPr>
        <w:rFonts w:ascii="Arial" w:cs="Arial" w:eastAsia="Arial" w:hAnsi="Arial"/>
        <w:color w:val="002FA7"/>
        <w:sz w:val="16"/>
        <w:szCs w:val="16"/>
      </w:rPr>
      <w:t xml:space="preserve">Anthony Moulin · Psychologue du travail</w:t>
    </w:r>
    <w:r>
      <w:rPr>
        <w:rFonts w:ascii="Arial" w:cs="Arial" w:eastAsia="Arial" w:hAnsi="Arial"/>
        <w:i/>
        <w:iCs/>
        <w:color w:val="5A607A"/>
        <w:sz w:val="16"/>
        <w:szCs w:val="16"/>
      </w:rPr>
      <w:t xml:space="preserve">       DUERP-RPS en pratique · Chapitre OUTIL10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D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02FA7"/>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47B8"/>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3366C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DUERP-RPS en pratique - Chapitre OUTIL10</dc:title>
  <dc:creator>Anthony Moulin</dc:creator>
  <cp:lastModifiedBy>Un-named</cp:lastModifiedBy>
  <cp:revision>1</cp:revision>
  <dcterms:created xsi:type="dcterms:W3CDTF">2026-05-12T16:05:46.399Z</dcterms:created>
  <dcterms:modified xsi:type="dcterms:W3CDTF">2026-05-12T16:05:46.399Z</dcterms:modified>
</cp:coreProperties>
</file>

<file path=docProps/custom.xml><?xml version="1.0" encoding="utf-8"?>
<Properties xmlns="http://schemas.openxmlformats.org/officeDocument/2006/custom-properties" xmlns:vt="http://schemas.openxmlformats.org/officeDocument/2006/docPropsVTypes"/>
</file>